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92A8" w14:textId="77777777" w:rsidR="00EE4A9A" w:rsidRPr="00490588" w:rsidRDefault="00EE4A9A" w:rsidP="00EE4A9A">
      <w:pPr>
        <w:rPr>
          <w:rFonts w:ascii="Arial" w:hAnsi="Arial" w:cs="Arial"/>
          <w:sz w:val="20"/>
          <w:szCs w:val="20"/>
        </w:rPr>
      </w:pPr>
    </w:p>
    <w:p w14:paraId="1B238E9A" w14:textId="365249BA" w:rsidR="00BD1CF7" w:rsidRDefault="00BD1CF7" w:rsidP="00F67328">
      <w:pPr>
        <w:spacing w:after="160" w:line="259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92EFBB8" wp14:editId="6097FE0B">
            <wp:extent cx="3276600" cy="8777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199" cy="8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5F2C" w14:textId="77777777" w:rsidR="00BD1CF7" w:rsidRDefault="00BD1CF7" w:rsidP="00F67328">
      <w:pPr>
        <w:spacing w:after="160" w:line="259" w:lineRule="auto"/>
        <w:contextualSpacing/>
        <w:jc w:val="center"/>
        <w:rPr>
          <w:rFonts w:ascii="Arial" w:hAnsi="Arial" w:cs="Arial"/>
          <w:b/>
        </w:rPr>
      </w:pPr>
    </w:p>
    <w:p w14:paraId="2CD5075B" w14:textId="69749F3D" w:rsidR="00EE4A9A" w:rsidRDefault="00EE4A9A" w:rsidP="00F67328">
      <w:pPr>
        <w:spacing w:after="160" w:line="259" w:lineRule="auto"/>
        <w:contextualSpacing/>
        <w:jc w:val="center"/>
        <w:rPr>
          <w:rFonts w:ascii="Arial" w:hAnsi="Arial" w:cs="Arial"/>
          <w:b/>
        </w:rPr>
      </w:pPr>
      <w:r w:rsidRPr="003B1037">
        <w:rPr>
          <w:rFonts w:ascii="Arial" w:hAnsi="Arial" w:cs="Arial"/>
          <w:b/>
        </w:rPr>
        <w:t>Grupo GELL</w:t>
      </w:r>
      <w:r w:rsidR="00F67328">
        <w:rPr>
          <w:rFonts w:ascii="Arial" w:hAnsi="Arial" w:cs="Arial"/>
          <w:b/>
        </w:rPr>
        <w:t xml:space="preserve"> – Proyecto</w:t>
      </w:r>
      <w:r w:rsidR="00D518F4">
        <w:rPr>
          <w:rFonts w:ascii="Arial" w:hAnsi="Arial" w:cs="Arial"/>
          <w:b/>
        </w:rPr>
        <w:t xml:space="preserve"> Linfomas MALT epidemiologia y tratamiento en la experiencia latinoamericana</w:t>
      </w:r>
    </w:p>
    <w:p w14:paraId="407A1559" w14:textId="77777777" w:rsidR="00F67328" w:rsidRDefault="00F67328" w:rsidP="00F67328">
      <w:pPr>
        <w:spacing w:after="160" w:line="259" w:lineRule="auto"/>
        <w:contextualSpacing/>
        <w:jc w:val="center"/>
        <w:rPr>
          <w:rFonts w:ascii="Arial" w:hAnsi="Arial" w:cs="Arial"/>
          <w:b/>
        </w:rPr>
      </w:pPr>
    </w:p>
    <w:p w14:paraId="0387FD1D" w14:textId="3B1E4C56" w:rsidR="00EE4A9A" w:rsidRPr="004662BE" w:rsidRDefault="00EE4A9A" w:rsidP="00EE4A9A">
      <w:pPr>
        <w:ind w:right="13"/>
        <w:jc w:val="both"/>
        <w:rPr>
          <w:rFonts w:ascii="Arial" w:hAnsi="Arial" w:cs="Arial"/>
          <w:b/>
          <w:bCs/>
        </w:rPr>
      </w:pPr>
      <w:r w:rsidRPr="004662BE">
        <w:rPr>
          <w:rFonts w:ascii="Arial" w:hAnsi="Arial" w:cs="Arial"/>
          <w:b/>
          <w:bCs/>
        </w:rPr>
        <w:t xml:space="preserve">Análisis </w:t>
      </w:r>
      <w:r w:rsidR="00D518F4">
        <w:rPr>
          <w:rFonts w:ascii="Arial" w:hAnsi="Arial" w:cs="Arial"/>
          <w:b/>
          <w:bCs/>
        </w:rPr>
        <w:t xml:space="preserve">de los tipos de MALT mas frecuentes en </w:t>
      </w:r>
      <w:r w:rsidRPr="004662BE">
        <w:rPr>
          <w:rFonts w:ascii="Arial" w:hAnsi="Arial" w:cs="Arial"/>
          <w:b/>
          <w:bCs/>
        </w:rPr>
        <w:t>Latinoamérica 201</w:t>
      </w:r>
      <w:r w:rsidR="00D518F4">
        <w:rPr>
          <w:rFonts w:ascii="Arial" w:hAnsi="Arial" w:cs="Arial"/>
          <w:b/>
          <w:bCs/>
        </w:rPr>
        <w:t>5</w:t>
      </w:r>
      <w:r w:rsidRPr="004662BE">
        <w:rPr>
          <w:rFonts w:ascii="Arial" w:hAnsi="Arial" w:cs="Arial"/>
          <w:b/>
          <w:bCs/>
        </w:rPr>
        <w:t>-202</w:t>
      </w:r>
      <w:r w:rsidR="005B3514">
        <w:rPr>
          <w:rFonts w:ascii="Arial" w:hAnsi="Arial" w:cs="Arial"/>
          <w:b/>
          <w:bCs/>
        </w:rPr>
        <w:t xml:space="preserve">3 </w:t>
      </w:r>
      <w:r w:rsidR="00D518F4">
        <w:rPr>
          <w:rFonts w:ascii="Arial" w:hAnsi="Arial" w:cs="Arial"/>
          <w:b/>
          <w:bCs/>
        </w:rPr>
        <w:t>epidemiologia y tratamiento de los centros de referencia latinoamericanos</w:t>
      </w:r>
    </w:p>
    <w:p w14:paraId="1305E6DA" w14:textId="77777777" w:rsidR="00EE4A9A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</w:p>
    <w:p w14:paraId="6475FE34" w14:textId="77777777" w:rsidR="00EE4A9A" w:rsidRPr="00490588" w:rsidRDefault="00EE4A9A" w:rsidP="00EE4A9A">
      <w:pPr>
        <w:ind w:right="13"/>
        <w:jc w:val="both"/>
        <w:rPr>
          <w:rFonts w:ascii="Arial" w:hAnsi="Arial" w:cs="Arial"/>
          <w:b/>
          <w:sz w:val="20"/>
          <w:szCs w:val="20"/>
        </w:rPr>
      </w:pPr>
      <w:r w:rsidRPr="00490588">
        <w:rPr>
          <w:rFonts w:ascii="Arial" w:hAnsi="Arial" w:cs="Arial"/>
          <w:b/>
          <w:sz w:val="20"/>
          <w:szCs w:val="20"/>
        </w:rPr>
        <w:t>TÍTULO CORTO DEL PROYECTO</w:t>
      </w:r>
    </w:p>
    <w:p w14:paraId="1DA5F5E5" w14:textId="77777777" w:rsidR="00EE4A9A" w:rsidRPr="00490588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</w:p>
    <w:p w14:paraId="27D0E147" w14:textId="05DFAF8D" w:rsidR="00BD1CF7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Linfoma </w:t>
      </w:r>
      <w:r w:rsidR="00D6779B">
        <w:rPr>
          <w:rFonts w:ascii="Arial" w:hAnsi="Arial" w:cs="Arial"/>
          <w:sz w:val="20"/>
          <w:szCs w:val="20"/>
        </w:rPr>
        <w:t xml:space="preserve">de  Tejido </w:t>
      </w:r>
      <w:r w:rsidR="00D94C69">
        <w:rPr>
          <w:rFonts w:ascii="Arial" w:hAnsi="Arial" w:cs="Arial"/>
          <w:sz w:val="20"/>
          <w:szCs w:val="20"/>
        </w:rPr>
        <w:t>L</w:t>
      </w:r>
      <w:r w:rsidR="00D6779B">
        <w:rPr>
          <w:rFonts w:ascii="Arial" w:hAnsi="Arial" w:cs="Arial"/>
          <w:sz w:val="20"/>
          <w:szCs w:val="20"/>
        </w:rPr>
        <w:t xml:space="preserve">infoide Asociado a Mucosa (LMALT) en Latinoamérica </w:t>
      </w:r>
    </w:p>
    <w:p w14:paraId="421DA6CA" w14:textId="6414F4E1" w:rsidR="00BD1CF7" w:rsidRDefault="00BD1CF7" w:rsidP="00EE4A9A">
      <w:pPr>
        <w:ind w:right="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Alana von Glasenapp - Paraguay</w:t>
      </w:r>
    </w:p>
    <w:p w14:paraId="5569017B" w14:textId="77777777" w:rsidR="00EE4A9A" w:rsidRPr="00126B1C" w:rsidRDefault="00EE4A9A" w:rsidP="00EE4A9A">
      <w:pPr>
        <w:ind w:right="1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86AB7F5" w14:textId="77777777" w:rsidR="00EE4A9A" w:rsidRPr="00126B1C" w:rsidRDefault="00EE4A9A" w:rsidP="00EE4A9A">
      <w:pPr>
        <w:pStyle w:val="Default"/>
        <w:rPr>
          <w:b/>
          <w:bCs/>
          <w:sz w:val="20"/>
          <w:szCs w:val="20"/>
        </w:rPr>
      </w:pPr>
      <w:r w:rsidRPr="00126B1C">
        <w:rPr>
          <w:b/>
          <w:bCs/>
          <w:sz w:val="20"/>
          <w:szCs w:val="20"/>
        </w:rPr>
        <w:t xml:space="preserve">Problema </w:t>
      </w:r>
    </w:p>
    <w:p w14:paraId="711FF789" w14:textId="77777777" w:rsidR="00EE4A9A" w:rsidRPr="00126B1C" w:rsidRDefault="00EE4A9A" w:rsidP="00EE4A9A">
      <w:pPr>
        <w:pStyle w:val="Default"/>
        <w:rPr>
          <w:sz w:val="20"/>
          <w:szCs w:val="20"/>
        </w:rPr>
      </w:pPr>
    </w:p>
    <w:p w14:paraId="087B5B6C" w14:textId="0A30D228" w:rsidR="00D518F4" w:rsidRDefault="00EE4A9A" w:rsidP="00D518F4">
      <w:pPr>
        <w:pStyle w:val="Prrafodelista"/>
        <w:ind w:left="0" w:right="13"/>
        <w:jc w:val="both"/>
        <w:rPr>
          <w:rFonts w:ascii="Arial" w:hAnsi="Arial" w:cs="Arial"/>
          <w:sz w:val="20"/>
          <w:szCs w:val="20"/>
          <w:lang w:val="es-PY"/>
        </w:rPr>
      </w:pPr>
      <w:r w:rsidRPr="00126B1C">
        <w:rPr>
          <w:rFonts w:ascii="Arial" w:hAnsi="Arial" w:cs="Arial"/>
          <w:sz w:val="20"/>
          <w:szCs w:val="20"/>
        </w:rPr>
        <w:t xml:space="preserve">El Linfoma de </w:t>
      </w:r>
      <w:r w:rsidR="00D518F4">
        <w:rPr>
          <w:rFonts w:ascii="Arial" w:hAnsi="Arial" w:cs="Arial"/>
          <w:sz w:val="20"/>
          <w:szCs w:val="20"/>
        </w:rPr>
        <w:t>MALT</w:t>
      </w:r>
      <w:r w:rsidRPr="00126B1C">
        <w:rPr>
          <w:rFonts w:ascii="Arial" w:hAnsi="Arial" w:cs="Arial"/>
          <w:sz w:val="20"/>
          <w:szCs w:val="20"/>
        </w:rPr>
        <w:t xml:space="preserve"> corresponde al </w:t>
      </w:r>
      <w:r w:rsidR="00D518F4">
        <w:rPr>
          <w:rFonts w:ascii="Arial" w:hAnsi="Arial" w:cs="Arial"/>
          <w:sz w:val="20"/>
          <w:szCs w:val="20"/>
        </w:rPr>
        <w:t>Li</w:t>
      </w:r>
      <w:r w:rsidRPr="00126B1C">
        <w:rPr>
          <w:rFonts w:ascii="Arial" w:hAnsi="Arial" w:cs="Arial"/>
          <w:sz w:val="20"/>
          <w:szCs w:val="20"/>
        </w:rPr>
        <w:t xml:space="preserve">nfoma </w:t>
      </w:r>
      <w:r w:rsidR="00D518F4">
        <w:rPr>
          <w:rFonts w:ascii="Arial" w:hAnsi="Arial" w:cs="Arial"/>
          <w:sz w:val="20"/>
          <w:szCs w:val="20"/>
        </w:rPr>
        <w:t xml:space="preserve"> Marginal mas frecuente</w:t>
      </w:r>
      <w:r w:rsidRPr="00126B1C">
        <w:rPr>
          <w:rFonts w:ascii="Arial" w:hAnsi="Arial" w:cs="Arial"/>
          <w:sz w:val="20"/>
          <w:szCs w:val="20"/>
        </w:rPr>
        <w:t xml:space="preserve">, </w:t>
      </w:r>
      <w:r w:rsidR="00D518F4">
        <w:rPr>
          <w:rFonts w:ascii="Arial" w:hAnsi="Arial" w:cs="Arial"/>
          <w:sz w:val="20"/>
          <w:szCs w:val="20"/>
        </w:rPr>
        <w:t xml:space="preserve">representa al 5,2% de los </w:t>
      </w:r>
      <w:r w:rsidR="00D94C69">
        <w:rPr>
          <w:rFonts w:ascii="Arial" w:hAnsi="Arial" w:cs="Arial"/>
          <w:sz w:val="20"/>
          <w:szCs w:val="20"/>
        </w:rPr>
        <w:t>Li</w:t>
      </w:r>
      <w:r w:rsidR="00D518F4">
        <w:rPr>
          <w:rFonts w:ascii="Arial" w:hAnsi="Arial" w:cs="Arial"/>
          <w:sz w:val="20"/>
          <w:szCs w:val="20"/>
        </w:rPr>
        <w:t xml:space="preserve">nfomas no </w:t>
      </w:r>
      <w:proofErr w:type="spellStart"/>
      <w:r w:rsidR="00D518F4">
        <w:rPr>
          <w:rFonts w:ascii="Arial" w:hAnsi="Arial" w:cs="Arial"/>
          <w:sz w:val="20"/>
          <w:szCs w:val="20"/>
        </w:rPr>
        <w:t>Hodgkin</w:t>
      </w:r>
      <w:proofErr w:type="spellEnd"/>
      <w:r w:rsidRPr="00126B1C">
        <w:rPr>
          <w:rFonts w:ascii="Arial" w:hAnsi="Arial" w:cs="Arial"/>
          <w:sz w:val="20"/>
          <w:szCs w:val="20"/>
        </w:rPr>
        <w:t xml:space="preserve">. </w:t>
      </w:r>
      <w:r w:rsidR="00D518F4">
        <w:rPr>
          <w:rFonts w:ascii="Arial" w:hAnsi="Arial" w:cs="Arial"/>
          <w:sz w:val="20"/>
          <w:szCs w:val="20"/>
        </w:rPr>
        <w:t xml:space="preserve">EL </w:t>
      </w:r>
      <w:r w:rsidR="00D518F4" w:rsidRPr="00D518F4">
        <w:rPr>
          <w:rFonts w:ascii="Arial" w:hAnsi="Arial" w:cs="Arial"/>
          <w:b/>
          <w:bCs/>
          <w:sz w:val="20"/>
          <w:szCs w:val="20"/>
          <w:lang w:val="es-PY"/>
        </w:rPr>
        <w:t xml:space="preserve">LMALT </w:t>
      </w:r>
      <w:r w:rsidR="00D518F4" w:rsidRPr="00D518F4">
        <w:rPr>
          <w:rFonts w:ascii="Arial" w:hAnsi="Arial" w:cs="Arial"/>
          <w:sz w:val="20"/>
          <w:szCs w:val="20"/>
          <w:lang w:val="es-PY"/>
        </w:rPr>
        <w:t xml:space="preserve">se caracteriza por una </w:t>
      </w:r>
      <w:r w:rsidR="00D518F4" w:rsidRPr="00D518F4">
        <w:rPr>
          <w:rFonts w:ascii="Arial" w:hAnsi="Arial" w:cs="Arial"/>
          <w:b/>
          <w:bCs/>
          <w:sz w:val="20"/>
          <w:szCs w:val="20"/>
          <w:lang w:val="es-PY"/>
        </w:rPr>
        <w:t>proliferación linfoide con un patrón de crecimiento perifolicular con colonización de los centros germinales y extensión perifolicular</w:t>
      </w:r>
      <w:r w:rsidR="00D518F4" w:rsidRPr="00D518F4">
        <w:rPr>
          <w:rFonts w:ascii="Arial" w:hAnsi="Arial" w:cs="Arial"/>
          <w:sz w:val="20"/>
          <w:szCs w:val="20"/>
          <w:lang w:val="es-PY"/>
        </w:rPr>
        <w:t>. Está formada por linfocitos pequeños, células B monocitoides, plasmáticas en una proporción variable y blastos aislados. En mucosas, los linfocitos infiltran el epitelio y forman las llamadas lesiones linfoepiteliales</w:t>
      </w:r>
      <w:r w:rsidR="00D518F4">
        <w:rPr>
          <w:rFonts w:ascii="Arial" w:hAnsi="Arial" w:cs="Arial"/>
          <w:sz w:val="20"/>
          <w:szCs w:val="20"/>
          <w:lang w:val="es-PY"/>
        </w:rPr>
        <w:t>.</w:t>
      </w:r>
      <w:r w:rsidR="00D6779B">
        <w:rPr>
          <w:rStyle w:val="Refdenotaalfinal"/>
          <w:rFonts w:ascii="Arial" w:hAnsi="Arial" w:cs="Arial"/>
          <w:sz w:val="20"/>
          <w:szCs w:val="20"/>
          <w:lang w:val="es-PY"/>
        </w:rPr>
        <w:endnoteReference w:id="1"/>
      </w:r>
    </w:p>
    <w:p w14:paraId="4C33ED5E" w14:textId="697B73A7" w:rsidR="00D518F4" w:rsidRDefault="00D518F4" w:rsidP="00D518F4">
      <w:pPr>
        <w:ind w:right="13"/>
        <w:jc w:val="both"/>
        <w:rPr>
          <w:rFonts w:ascii="Arial" w:eastAsia="Calibri" w:hAnsi="Arial" w:cs="Arial"/>
          <w:sz w:val="20"/>
          <w:szCs w:val="20"/>
          <w:lang w:val="es-PY"/>
        </w:rPr>
      </w:pPr>
      <w:r w:rsidRPr="00D518F4">
        <w:rPr>
          <w:rFonts w:ascii="Arial" w:eastAsia="Calibri" w:hAnsi="Arial" w:cs="Arial"/>
          <w:sz w:val="20"/>
          <w:szCs w:val="20"/>
          <w:lang w:val="es-PY"/>
        </w:rPr>
        <w:t xml:space="preserve">En la mayoría de LMALT existen lesiones precursoras en forma de infiltrados inflamatorios crónicos, secundarios a infección o proceso autoinmune (gastritis por </w:t>
      </w:r>
      <w:r w:rsidRPr="00D518F4">
        <w:rPr>
          <w:rFonts w:ascii="Arial" w:eastAsia="Calibri" w:hAnsi="Arial" w:cs="Arial"/>
          <w:i/>
          <w:iCs/>
          <w:sz w:val="20"/>
          <w:szCs w:val="20"/>
          <w:lang w:val="es-PY"/>
        </w:rPr>
        <w:t>H. pylori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 xml:space="preserve">, tiroiditis de Hashimoto, síndrome de Sjögren, etc). </w:t>
      </w:r>
    </w:p>
    <w:p w14:paraId="4010BDE9" w14:textId="5F65C76A" w:rsidR="00D518F4" w:rsidRPr="00D518F4" w:rsidRDefault="00D518F4" w:rsidP="00D518F4">
      <w:pPr>
        <w:ind w:right="13"/>
        <w:jc w:val="both"/>
        <w:rPr>
          <w:rFonts w:ascii="Arial" w:eastAsia="Calibri" w:hAnsi="Arial" w:cs="Arial"/>
          <w:sz w:val="20"/>
          <w:szCs w:val="20"/>
          <w:lang w:val="es-PY"/>
        </w:rPr>
      </w:pPr>
      <w:r>
        <w:rPr>
          <w:rFonts w:ascii="Arial" w:eastAsia="Calibri" w:hAnsi="Arial" w:cs="Arial"/>
          <w:sz w:val="20"/>
          <w:szCs w:val="20"/>
          <w:lang w:val="es-PY"/>
        </w:rPr>
        <w:t xml:space="preserve">El 70% de los casos se presenta en estadios localizados siendo el LMALT Gastrico el mas frecuente representando al 60% de los casos con una clra asociacion a 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gastritis crónica inducida por un patógeno microbiano, Helicobacter pylori. Por lo tanto, el linfoma MALT gástrico</w:t>
      </w:r>
      <w:r>
        <w:rPr>
          <w:rFonts w:ascii="Arial" w:eastAsia="Calibri" w:hAnsi="Arial" w:cs="Arial"/>
          <w:sz w:val="20"/>
          <w:szCs w:val="20"/>
          <w:lang w:val="es-PY"/>
        </w:rPr>
        <w:t xml:space="preserve"> 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representa un paradigma para evaluar la linfomagénesis asociada a la inflamación, que puede conducir a una</w:t>
      </w:r>
      <w:r w:rsidR="00D6779B">
        <w:rPr>
          <w:rFonts w:ascii="Arial" w:eastAsia="Calibri" w:hAnsi="Arial" w:cs="Arial"/>
          <w:sz w:val="20"/>
          <w:szCs w:val="20"/>
          <w:lang w:val="es-PY"/>
        </w:rPr>
        <w:t xml:space="preserve"> 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comprensión más profunda de una posible asociación etiológica entre otros microorganismos y enfermedades no gástricas</w:t>
      </w:r>
      <w:r>
        <w:rPr>
          <w:rFonts w:ascii="Arial" w:eastAsia="Calibri" w:hAnsi="Arial" w:cs="Arial"/>
          <w:sz w:val="20"/>
          <w:szCs w:val="20"/>
          <w:lang w:val="es-PY"/>
        </w:rPr>
        <w:t xml:space="preserve"> 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linfomas de la zona marginal.</w:t>
      </w:r>
      <w:r w:rsidR="00D6779B">
        <w:rPr>
          <w:rStyle w:val="Refdenotaalfinal"/>
          <w:rFonts w:ascii="Arial" w:eastAsia="Calibri" w:hAnsi="Arial" w:cs="Arial"/>
          <w:sz w:val="20"/>
          <w:szCs w:val="20"/>
          <w:lang w:val="es-PY"/>
        </w:rPr>
        <w:endnoteReference w:id="2"/>
      </w:r>
      <w:r w:rsidRPr="00D518F4">
        <w:rPr>
          <w:rFonts w:ascii="Arial" w:eastAsia="Calibri" w:hAnsi="Arial" w:cs="Arial"/>
          <w:sz w:val="20"/>
          <w:szCs w:val="20"/>
          <w:lang w:val="es-PY"/>
        </w:rPr>
        <w:t xml:space="preserve"> Además de la etiología infecciosa, la inflamación crónica causada por enfermedades autoinmunesenfermedades, como el síndrome de Sjogren o la tiroiditis de Hashimoto, también pueden llevar un factor de riesgo importante para </w:t>
      </w:r>
      <w:r>
        <w:rPr>
          <w:rFonts w:ascii="Arial" w:eastAsia="Calibri" w:hAnsi="Arial" w:cs="Arial"/>
          <w:sz w:val="20"/>
          <w:szCs w:val="20"/>
          <w:lang w:val="es-PY"/>
        </w:rPr>
        <w:t xml:space="preserve">el 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desarrollo de linfoma de la zona marginal</w:t>
      </w:r>
      <w:r>
        <w:rPr>
          <w:rFonts w:ascii="Arial" w:eastAsia="Calibri" w:hAnsi="Arial" w:cs="Arial"/>
          <w:sz w:val="20"/>
          <w:szCs w:val="20"/>
          <w:lang w:val="es-PY"/>
        </w:rPr>
        <w:t xml:space="preserve"> asociado a mucosas, a</w:t>
      </w:r>
      <w:r w:rsidRPr="00D518F4">
        <w:rPr>
          <w:rFonts w:ascii="Arial" w:eastAsia="Calibri" w:hAnsi="Arial" w:cs="Arial"/>
          <w:sz w:val="20"/>
          <w:szCs w:val="20"/>
          <w:lang w:val="es-PY"/>
        </w:rPr>
        <w:t>demás del impulso antigénico continuo, adicional</w:t>
      </w:r>
      <w:r>
        <w:rPr>
          <w:rFonts w:ascii="Arial" w:eastAsia="Calibri" w:hAnsi="Arial" w:cs="Arial"/>
          <w:sz w:val="20"/>
          <w:szCs w:val="20"/>
          <w:lang w:val="es-PY"/>
        </w:rPr>
        <w:t xml:space="preserve">. Es infrecuente la presentacion clinica de sintomas B y afectacion de sangre periferica. </w:t>
      </w:r>
    </w:p>
    <w:p w14:paraId="7268322F" w14:textId="79A88CBE" w:rsidR="00EE4A9A" w:rsidRPr="00126B1C" w:rsidRDefault="00EE4A9A" w:rsidP="00EE4A9A">
      <w:pPr>
        <w:pStyle w:val="Prrafodelista"/>
        <w:ind w:left="0" w:right="13"/>
        <w:jc w:val="both"/>
        <w:rPr>
          <w:rFonts w:ascii="Arial" w:hAnsi="Arial" w:cs="Arial"/>
          <w:sz w:val="20"/>
          <w:szCs w:val="20"/>
        </w:rPr>
      </w:pPr>
      <w:r w:rsidRPr="00126B1C">
        <w:rPr>
          <w:rFonts w:ascii="Arial" w:hAnsi="Arial" w:cs="Arial"/>
          <w:sz w:val="20"/>
          <w:szCs w:val="20"/>
        </w:rPr>
        <w:t>E</w:t>
      </w:r>
      <w:r w:rsidR="00F67328">
        <w:rPr>
          <w:rFonts w:ascii="Arial" w:hAnsi="Arial" w:cs="Arial"/>
          <w:sz w:val="20"/>
          <w:szCs w:val="20"/>
        </w:rPr>
        <w:t xml:space="preserve">l grupo GELL ha implementado este protocolo de investigación para </w:t>
      </w:r>
      <w:r w:rsidRPr="00126B1C">
        <w:rPr>
          <w:rFonts w:ascii="Arial" w:hAnsi="Arial" w:cs="Arial"/>
          <w:sz w:val="20"/>
          <w:szCs w:val="20"/>
        </w:rPr>
        <w:t xml:space="preserve">pacientes Latinoamericanos </w:t>
      </w:r>
      <w:r w:rsidR="00F67328">
        <w:rPr>
          <w:rFonts w:ascii="Arial" w:hAnsi="Arial" w:cs="Arial"/>
          <w:sz w:val="20"/>
          <w:szCs w:val="20"/>
        </w:rPr>
        <w:t xml:space="preserve">con el </w:t>
      </w:r>
      <w:r w:rsidR="00D518F4">
        <w:rPr>
          <w:rFonts w:ascii="Arial" w:hAnsi="Arial" w:cs="Arial"/>
          <w:sz w:val="20"/>
          <w:szCs w:val="20"/>
        </w:rPr>
        <w:t>objeto</w:t>
      </w:r>
      <w:r w:rsidR="00F67328">
        <w:rPr>
          <w:rFonts w:ascii="Arial" w:hAnsi="Arial" w:cs="Arial"/>
          <w:sz w:val="20"/>
          <w:szCs w:val="20"/>
        </w:rPr>
        <w:t xml:space="preserve"> de conocer la</w:t>
      </w:r>
      <w:r w:rsidRPr="00126B1C">
        <w:rPr>
          <w:rFonts w:ascii="Arial" w:hAnsi="Arial" w:cs="Arial"/>
          <w:sz w:val="20"/>
          <w:szCs w:val="20"/>
        </w:rPr>
        <w:t xml:space="preserve"> frecuencia de </w:t>
      </w:r>
      <w:r w:rsidR="00D518F4">
        <w:rPr>
          <w:rFonts w:ascii="Arial" w:hAnsi="Arial" w:cs="Arial"/>
          <w:sz w:val="20"/>
          <w:szCs w:val="20"/>
        </w:rPr>
        <w:t xml:space="preserve">este tipo </w:t>
      </w:r>
      <w:r w:rsidRPr="00126B1C">
        <w:rPr>
          <w:rFonts w:ascii="Arial" w:hAnsi="Arial" w:cs="Arial"/>
          <w:sz w:val="20"/>
          <w:szCs w:val="20"/>
        </w:rPr>
        <w:t xml:space="preserve">de Linfoma al igual que los </w:t>
      </w:r>
      <w:r w:rsidR="00D518F4">
        <w:rPr>
          <w:rFonts w:ascii="Arial" w:hAnsi="Arial" w:cs="Arial"/>
          <w:sz w:val="20"/>
          <w:szCs w:val="20"/>
        </w:rPr>
        <w:t>tratamientos utilizados y los logros</w:t>
      </w:r>
      <w:r w:rsidRPr="00126B1C">
        <w:rPr>
          <w:rFonts w:ascii="Arial" w:hAnsi="Arial" w:cs="Arial"/>
          <w:sz w:val="20"/>
          <w:szCs w:val="20"/>
        </w:rPr>
        <w:t xml:space="preserve"> con los diferentes esquemas de tratamiento disponibles</w:t>
      </w:r>
      <w:r w:rsidR="00F67328">
        <w:rPr>
          <w:rFonts w:ascii="Arial" w:hAnsi="Arial" w:cs="Arial"/>
          <w:sz w:val="20"/>
          <w:szCs w:val="20"/>
        </w:rPr>
        <w:t xml:space="preserve"> </w:t>
      </w:r>
    </w:p>
    <w:p w14:paraId="225A392D" w14:textId="77777777" w:rsidR="00EE4A9A" w:rsidRPr="00126B1C" w:rsidRDefault="00EE4A9A" w:rsidP="00EE4A9A">
      <w:pPr>
        <w:pStyle w:val="Prrafodelista"/>
        <w:ind w:left="0" w:right="13"/>
        <w:jc w:val="both"/>
        <w:rPr>
          <w:rFonts w:ascii="Arial" w:hAnsi="Arial" w:cs="Arial"/>
          <w:sz w:val="20"/>
          <w:szCs w:val="20"/>
        </w:rPr>
      </w:pPr>
    </w:p>
    <w:p w14:paraId="7A502FD0" w14:textId="77777777" w:rsidR="00EE4A9A" w:rsidRPr="00126B1C" w:rsidRDefault="00EE4A9A" w:rsidP="00EE4A9A">
      <w:pPr>
        <w:pStyle w:val="Prrafodelista"/>
        <w:ind w:left="0" w:right="13"/>
        <w:jc w:val="both"/>
        <w:rPr>
          <w:rFonts w:ascii="Arial" w:hAnsi="Arial" w:cs="Arial"/>
          <w:b/>
          <w:sz w:val="20"/>
          <w:szCs w:val="20"/>
        </w:rPr>
      </w:pPr>
      <w:r w:rsidRPr="00126B1C">
        <w:rPr>
          <w:rFonts w:ascii="Arial" w:hAnsi="Arial" w:cs="Arial"/>
          <w:b/>
          <w:sz w:val="20"/>
          <w:szCs w:val="20"/>
        </w:rPr>
        <w:t xml:space="preserve">Objetivo general: </w:t>
      </w:r>
    </w:p>
    <w:p w14:paraId="52DB7292" w14:textId="21D5AF8E" w:rsidR="00EE4A9A" w:rsidRPr="00126B1C" w:rsidRDefault="00D518F4" w:rsidP="00EE4A9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Conoce la epidemiologia de los linfomas MALT en Latinoamérica, d</w:t>
      </w:r>
      <w:r w:rsidR="00EE4A9A" w:rsidRPr="00126B1C">
        <w:rPr>
          <w:sz w:val="20"/>
          <w:szCs w:val="20"/>
        </w:rPr>
        <w:t xml:space="preserve">escribir las características clínicas y los resultados oncológicos del tratamiento en pacientes con </w:t>
      </w:r>
      <w:r>
        <w:rPr>
          <w:sz w:val="20"/>
          <w:szCs w:val="20"/>
        </w:rPr>
        <w:t>latinoamericanos tanto en primera como en subsecuentes líneas de tratamiento disponibles</w:t>
      </w:r>
      <w:r w:rsidR="00EE4A9A">
        <w:rPr>
          <w:sz w:val="20"/>
          <w:szCs w:val="20"/>
        </w:rPr>
        <w:t xml:space="preserve"> en </w:t>
      </w:r>
      <w:r w:rsidR="00EE4A9A" w:rsidRPr="006365F5">
        <w:rPr>
          <w:sz w:val="20"/>
          <w:szCs w:val="20"/>
        </w:rPr>
        <w:t xml:space="preserve">Centros de Referencia Oncológicos en Latinoamérica </w:t>
      </w:r>
      <w:r w:rsidR="00F67328">
        <w:rPr>
          <w:sz w:val="20"/>
          <w:szCs w:val="20"/>
        </w:rPr>
        <w:t xml:space="preserve">que pertenecen al grupo GELL </w:t>
      </w:r>
      <w:r w:rsidR="00EE4A9A">
        <w:rPr>
          <w:sz w:val="20"/>
          <w:szCs w:val="20"/>
        </w:rPr>
        <w:t>durante el periodo comprendido entre 20</w:t>
      </w:r>
      <w:r>
        <w:rPr>
          <w:sz w:val="20"/>
          <w:szCs w:val="20"/>
        </w:rPr>
        <w:t>15</w:t>
      </w:r>
      <w:r w:rsidR="00EE4A9A">
        <w:rPr>
          <w:sz w:val="20"/>
          <w:szCs w:val="20"/>
        </w:rPr>
        <w:t xml:space="preserve"> a 202</w:t>
      </w:r>
      <w:r w:rsidR="005B3514">
        <w:rPr>
          <w:sz w:val="20"/>
          <w:szCs w:val="20"/>
        </w:rPr>
        <w:t>3</w:t>
      </w:r>
      <w:r w:rsidR="00EE4A9A">
        <w:rPr>
          <w:sz w:val="20"/>
          <w:szCs w:val="20"/>
        </w:rPr>
        <w:t>.</w:t>
      </w:r>
    </w:p>
    <w:p w14:paraId="47C72DDF" w14:textId="77777777" w:rsidR="00EE4A9A" w:rsidRPr="00126B1C" w:rsidRDefault="00EE4A9A" w:rsidP="00EE4A9A">
      <w:pPr>
        <w:pStyle w:val="Default"/>
        <w:jc w:val="both"/>
        <w:rPr>
          <w:sz w:val="20"/>
          <w:szCs w:val="20"/>
        </w:rPr>
      </w:pPr>
    </w:p>
    <w:p w14:paraId="3F378DE4" w14:textId="77777777" w:rsidR="00EE4A9A" w:rsidRPr="00126B1C" w:rsidRDefault="00EE4A9A" w:rsidP="00EE4A9A">
      <w:pPr>
        <w:pStyle w:val="Default"/>
        <w:jc w:val="both"/>
        <w:rPr>
          <w:sz w:val="20"/>
          <w:szCs w:val="20"/>
        </w:rPr>
      </w:pPr>
      <w:r w:rsidRPr="00126B1C">
        <w:rPr>
          <w:b/>
          <w:bCs/>
          <w:sz w:val="20"/>
          <w:szCs w:val="20"/>
        </w:rPr>
        <w:t xml:space="preserve">Materiales y métodos </w:t>
      </w:r>
    </w:p>
    <w:p w14:paraId="514B416A" w14:textId="26249520" w:rsidR="00EE4A9A" w:rsidRPr="00126B1C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  <w:r w:rsidRPr="00126B1C">
        <w:rPr>
          <w:rFonts w:ascii="Arial" w:hAnsi="Arial" w:cs="Arial"/>
          <w:b/>
          <w:bCs/>
          <w:sz w:val="20"/>
          <w:szCs w:val="20"/>
        </w:rPr>
        <w:t xml:space="preserve">Diseño del estudio: </w:t>
      </w:r>
      <w:r w:rsidR="00F67328">
        <w:rPr>
          <w:rFonts w:ascii="Arial" w:hAnsi="Arial" w:cs="Arial"/>
          <w:sz w:val="20"/>
          <w:szCs w:val="20"/>
        </w:rPr>
        <w:t xml:space="preserve">Estudio de corte transversal analítico </w:t>
      </w:r>
    </w:p>
    <w:p w14:paraId="4F195453" w14:textId="408301A4" w:rsidR="00EE4A9A" w:rsidRDefault="00EE4A9A" w:rsidP="00EE4A9A">
      <w:pPr>
        <w:pStyle w:val="Default"/>
        <w:jc w:val="both"/>
        <w:rPr>
          <w:sz w:val="20"/>
          <w:szCs w:val="20"/>
        </w:rPr>
      </w:pPr>
      <w:r w:rsidRPr="00126B1C">
        <w:rPr>
          <w:b/>
          <w:bCs/>
          <w:sz w:val="20"/>
          <w:szCs w:val="20"/>
        </w:rPr>
        <w:t xml:space="preserve">Población de estudio: </w:t>
      </w:r>
      <w:r w:rsidRPr="00126B1C">
        <w:rPr>
          <w:sz w:val="20"/>
          <w:szCs w:val="20"/>
        </w:rPr>
        <w:t xml:space="preserve">Pacientes consecutivos con diagnóstico de Linfoma </w:t>
      </w:r>
      <w:r w:rsidR="00D518F4">
        <w:rPr>
          <w:sz w:val="20"/>
          <w:szCs w:val="20"/>
        </w:rPr>
        <w:t>MALT</w:t>
      </w:r>
      <w:r w:rsidRPr="00126B1C">
        <w:rPr>
          <w:sz w:val="20"/>
          <w:szCs w:val="20"/>
        </w:rPr>
        <w:t xml:space="preserve"> mayores de 18 años </w:t>
      </w:r>
      <w:r>
        <w:rPr>
          <w:sz w:val="20"/>
          <w:szCs w:val="20"/>
        </w:rPr>
        <w:t xml:space="preserve">atendidos </w:t>
      </w:r>
      <w:r w:rsidRPr="00126B1C"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 w:rsidRPr="006365F5">
        <w:rPr>
          <w:sz w:val="20"/>
          <w:szCs w:val="20"/>
        </w:rPr>
        <w:t xml:space="preserve">Centros de Referencia Oncológicos en Latinoamérica </w:t>
      </w:r>
      <w:r w:rsidRPr="00126B1C">
        <w:rPr>
          <w:sz w:val="20"/>
          <w:szCs w:val="20"/>
        </w:rPr>
        <w:t xml:space="preserve">durante el periodo comprendido entre </w:t>
      </w:r>
      <w:r>
        <w:rPr>
          <w:sz w:val="20"/>
          <w:szCs w:val="20"/>
        </w:rPr>
        <w:t>201</w:t>
      </w:r>
      <w:r w:rsidR="00D518F4">
        <w:rPr>
          <w:sz w:val="20"/>
          <w:szCs w:val="20"/>
        </w:rPr>
        <w:t xml:space="preserve">5 </w:t>
      </w:r>
      <w:r>
        <w:rPr>
          <w:sz w:val="20"/>
          <w:szCs w:val="20"/>
        </w:rPr>
        <w:t>a 202</w:t>
      </w:r>
      <w:r w:rsidR="005B3514">
        <w:rPr>
          <w:sz w:val="20"/>
          <w:szCs w:val="20"/>
        </w:rPr>
        <w:t>3</w:t>
      </w:r>
    </w:p>
    <w:p w14:paraId="19C4E5AC" w14:textId="77777777" w:rsidR="00EE4A9A" w:rsidRPr="00126B1C" w:rsidRDefault="00EE4A9A" w:rsidP="00EE4A9A">
      <w:pPr>
        <w:pStyle w:val="Default"/>
        <w:jc w:val="both"/>
        <w:rPr>
          <w:sz w:val="20"/>
          <w:szCs w:val="20"/>
        </w:rPr>
      </w:pPr>
    </w:p>
    <w:p w14:paraId="31ABB214" w14:textId="31801CCF" w:rsidR="00EE4A9A" w:rsidRPr="00126B1C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  <w:r w:rsidRPr="00126B1C">
        <w:rPr>
          <w:rFonts w:ascii="Arial" w:hAnsi="Arial" w:cs="Arial"/>
          <w:b/>
          <w:bCs/>
          <w:sz w:val="20"/>
          <w:szCs w:val="20"/>
        </w:rPr>
        <w:t xml:space="preserve">Procedimientos: </w:t>
      </w:r>
      <w:r w:rsidRPr="00126B1C">
        <w:rPr>
          <w:rFonts w:ascii="Arial" w:hAnsi="Arial" w:cs="Arial"/>
          <w:sz w:val="20"/>
          <w:szCs w:val="20"/>
        </w:rPr>
        <w:t xml:space="preserve">La búsqueda de los pacientes se realizará mediante los registros disponibles en </w:t>
      </w:r>
      <w:r>
        <w:rPr>
          <w:rFonts w:ascii="Arial" w:hAnsi="Arial" w:cs="Arial"/>
          <w:sz w:val="20"/>
          <w:szCs w:val="20"/>
        </w:rPr>
        <w:t xml:space="preserve">cada uno de los </w:t>
      </w:r>
      <w:r w:rsidRPr="00126B1C">
        <w:rPr>
          <w:rFonts w:ascii="Arial" w:hAnsi="Arial" w:cs="Arial"/>
          <w:sz w:val="20"/>
          <w:szCs w:val="20"/>
        </w:rPr>
        <w:t>Servicio</w:t>
      </w:r>
      <w:r>
        <w:rPr>
          <w:rFonts w:ascii="Arial" w:hAnsi="Arial" w:cs="Arial"/>
          <w:sz w:val="20"/>
          <w:szCs w:val="20"/>
        </w:rPr>
        <w:t xml:space="preserve">s de hematología de los </w:t>
      </w:r>
      <w:r w:rsidRPr="006365F5">
        <w:rPr>
          <w:rFonts w:ascii="Arial" w:hAnsi="Arial" w:cs="Arial"/>
          <w:sz w:val="20"/>
          <w:szCs w:val="20"/>
        </w:rPr>
        <w:t xml:space="preserve">Centros de Referencia Oncológicos en Latinoamérica </w:t>
      </w:r>
      <w:r>
        <w:rPr>
          <w:rFonts w:ascii="Arial" w:hAnsi="Arial" w:cs="Arial"/>
          <w:sz w:val="20"/>
          <w:szCs w:val="20"/>
        </w:rPr>
        <w:t xml:space="preserve">participantes. </w:t>
      </w:r>
      <w:r w:rsidRPr="00126B1C">
        <w:rPr>
          <w:rFonts w:ascii="Arial" w:hAnsi="Arial" w:cs="Arial"/>
          <w:sz w:val="20"/>
          <w:szCs w:val="20"/>
        </w:rPr>
        <w:t>Se obtendrán los datos de h</w:t>
      </w:r>
      <w:r>
        <w:rPr>
          <w:rFonts w:ascii="Arial" w:hAnsi="Arial" w:cs="Arial"/>
          <w:sz w:val="20"/>
          <w:szCs w:val="20"/>
        </w:rPr>
        <w:t xml:space="preserve">istoria clínica consignados en los sistemas de información que cada institución disponga para ellos. </w:t>
      </w:r>
      <w:r w:rsidRPr="00126B1C">
        <w:rPr>
          <w:rFonts w:ascii="Arial" w:hAnsi="Arial" w:cs="Arial"/>
          <w:sz w:val="20"/>
          <w:szCs w:val="20"/>
        </w:rPr>
        <w:t xml:space="preserve">La información de los pacientes incluidos se registrará en </w:t>
      </w:r>
      <w:r w:rsidR="00F67328">
        <w:rPr>
          <w:rFonts w:ascii="Arial" w:hAnsi="Arial" w:cs="Arial"/>
          <w:sz w:val="20"/>
          <w:szCs w:val="20"/>
        </w:rPr>
        <w:t xml:space="preserve">una base de datos conjunta teniendo en cuenta </w:t>
      </w:r>
      <w:r w:rsidR="00BD1CF7">
        <w:rPr>
          <w:rFonts w:ascii="Arial" w:hAnsi="Arial" w:cs="Arial"/>
          <w:sz w:val="20"/>
          <w:szCs w:val="20"/>
        </w:rPr>
        <w:t>todos los requerimientos</w:t>
      </w:r>
      <w:r w:rsidR="00F67328">
        <w:rPr>
          <w:rFonts w:ascii="Arial" w:hAnsi="Arial" w:cs="Arial"/>
          <w:sz w:val="20"/>
          <w:szCs w:val="20"/>
        </w:rPr>
        <w:t xml:space="preserve"> de investigación clínica en humanos según la declaración de Helsinki.</w:t>
      </w:r>
    </w:p>
    <w:p w14:paraId="22DB84C1" w14:textId="77777777" w:rsidR="00EE4A9A" w:rsidRPr="00126B1C" w:rsidRDefault="00EE4A9A" w:rsidP="00EE4A9A">
      <w:pPr>
        <w:ind w:right="13"/>
        <w:jc w:val="both"/>
        <w:rPr>
          <w:rFonts w:ascii="Arial" w:hAnsi="Arial" w:cs="Arial"/>
          <w:b/>
          <w:sz w:val="20"/>
          <w:szCs w:val="20"/>
        </w:rPr>
      </w:pPr>
    </w:p>
    <w:p w14:paraId="5A80B1A2" w14:textId="77777777" w:rsidR="00EE4A9A" w:rsidRPr="00126B1C" w:rsidRDefault="00EE4A9A" w:rsidP="00EE4A9A">
      <w:pPr>
        <w:ind w:right="13"/>
        <w:jc w:val="both"/>
        <w:rPr>
          <w:rFonts w:ascii="Arial" w:hAnsi="Arial" w:cs="Arial"/>
          <w:b/>
          <w:sz w:val="20"/>
          <w:szCs w:val="20"/>
        </w:rPr>
      </w:pPr>
      <w:r w:rsidRPr="00126B1C">
        <w:rPr>
          <w:rFonts w:ascii="Arial" w:hAnsi="Arial" w:cs="Arial"/>
          <w:b/>
          <w:sz w:val="20"/>
          <w:szCs w:val="20"/>
        </w:rPr>
        <w:t>PALABRAS CLAVE:</w:t>
      </w:r>
    </w:p>
    <w:p w14:paraId="58D5CFB4" w14:textId="77777777" w:rsidR="00D518F4" w:rsidRDefault="00D518F4" w:rsidP="00EE4A9A">
      <w:pPr>
        <w:ind w:right="1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Linfoma MALT</w:t>
      </w:r>
    </w:p>
    <w:p w14:paraId="442C4A7C" w14:textId="77777777" w:rsidR="00D518F4" w:rsidRDefault="00D518F4" w:rsidP="00EE4A9A">
      <w:pPr>
        <w:ind w:right="13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Helicobacter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Pylori </w:t>
      </w:r>
    </w:p>
    <w:p w14:paraId="71FCB6DB" w14:textId="74B584A1" w:rsidR="00EE4A9A" w:rsidRPr="00D518F4" w:rsidRDefault="00D518F4" w:rsidP="00EE4A9A">
      <w:pPr>
        <w:ind w:right="1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Autoinmune </w:t>
      </w:r>
    </w:p>
    <w:p w14:paraId="06FFE8F2" w14:textId="77777777" w:rsidR="00EE4A9A" w:rsidRPr="00490588" w:rsidRDefault="00EE4A9A" w:rsidP="00EE4A9A">
      <w:pPr>
        <w:ind w:right="13"/>
        <w:jc w:val="both"/>
        <w:rPr>
          <w:rFonts w:ascii="Arial" w:hAnsi="Arial" w:cs="Arial"/>
          <w:sz w:val="20"/>
          <w:szCs w:val="20"/>
        </w:rPr>
      </w:pPr>
    </w:p>
    <w:p w14:paraId="22984948" w14:textId="1D243D7E" w:rsidR="00EE4A9A" w:rsidRDefault="00F67328" w:rsidP="00EE4A9A">
      <w:pPr>
        <w:ind w:right="1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Introducción</w:t>
      </w:r>
    </w:p>
    <w:p w14:paraId="296C16CB" w14:textId="77777777" w:rsidR="00F67328" w:rsidRPr="004662BE" w:rsidRDefault="00F67328" w:rsidP="00EE4A9A">
      <w:pPr>
        <w:ind w:right="13"/>
        <w:jc w:val="both"/>
        <w:rPr>
          <w:rFonts w:ascii="Arial" w:hAnsi="Arial" w:cs="Arial"/>
          <w:b/>
          <w:bCs/>
        </w:rPr>
      </w:pPr>
    </w:p>
    <w:p w14:paraId="1A06655C" w14:textId="44F515DD" w:rsidR="00D518F4" w:rsidRDefault="00EE4A9A" w:rsidP="00F6732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Linfoma </w:t>
      </w:r>
      <w:r w:rsidR="00D518F4">
        <w:rPr>
          <w:sz w:val="20"/>
          <w:szCs w:val="20"/>
        </w:rPr>
        <w:t xml:space="preserve">Marginal asociado a mucosas (MALT) </w:t>
      </w:r>
      <w:r>
        <w:rPr>
          <w:sz w:val="20"/>
          <w:szCs w:val="20"/>
        </w:rPr>
        <w:t xml:space="preserve">corresponde al linfoma </w:t>
      </w:r>
      <w:r w:rsidR="00D518F4">
        <w:rPr>
          <w:sz w:val="20"/>
          <w:szCs w:val="20"/>
        </w:rPr>
        <w:t>marginal mas</w:t>
      </w:r>
      <w:r>
        <w:rPr>
          <w:sz w:val="20"/>
          <w:szCs w:val="20"/>
        </w:rPr>
        <w:t xml:space="preserve"> común que afecta a la población </w:t>
      </w:r>
      <w:r w:rsidR="00D518F4">
        <w:rPr>
          <w:sz w:val="20"/>
          <w:szCs w:val="20"/>
        </w:rPr>
        <w:t>mayor de 60 años en el 50% de los casos</w:t>
      </w:r>
      <w:r>
        <w:rPr>
          <w:sz w:val="20"/>
          <w:szCs w:val="20"/>
        </w:rPr>
        <w:t xml:space="preserve">, </w:t>
      </w:r>
      <w:r w:rsidR="00D518F4">
        <w:rPr>
          <w:sz w:val="20"/>
          <w:szCs w:val="20"/>
        </w:rPr>
        <w:t xml:space="preserve">leve predominio en sexo femenino, con presentación en el 70% en estadios localizados, siendo el gástrico el mas frecuente de ellos 70% ampliamente relacionado a la infección por H. Pylori, le sigue el Linfoma MALT de Anexo Oculares cuyo patógeno relacionado es la Chlamydia </w:t>
      </w:r>
      <w:proofErr w:type="spellStart"/>
      <w:r w:rsidR="00D518F4">
        <w:rPr>
          <w:sz w:val="20"/>
          <w:szCs w:val="20"/>
        </w:rPr>
        <w:t>Psitacci</w:t>
      </w:r>
      <w:proofErr w:type="spellEnd"/>
      <w:r w:rsidR="00D518F4">
        <w:rPr>
          <w:sz w:val="20"/>
          <w:szCs w:val="20"/>
        </w:rPr>
        <w:t xml:space="preserve"> y Virus de la Hepatitis C, en Piel </w:t>
      </w:r>
      <w:proofErr w:type="spellStart"/>
      <w:r w:rsidR="00D518F4">
        <w:rPr>
          <w:sz w:val="20"/>
          <w:szCs w:val="20"/>
        </w:rPr>
        <w:t>Borrelia</w:t>
      </w:r>
      <w:proofErr w:type="spellEnd"/>
      <w:r w:rsidR="00D518F4">
        <w:rPr>
          <w:sz w:val="20"/>
          <w:szCs w:val="20"/>
        </w:rPr>
        <w:t xml:space="preserve"> </w:t>
      </w:r>
      <w:proofErr w:type="spellStart"/>
      <w:r w:rsidR="00D518F4">
        <w:rPr>
          <w:sz w:val="20"/>
          <w:szCs w:val="20"/>
        </w:rPr>
        <w:t>Burgdorferi</w:t>
      </w:r>
      <w:proofErr w:type="spellEnd"/>
      <w:r w:rsidR="00D518F4">
        <w:rPr>
          <w:sz w:val="20"/>
          <w:szCs w:val="20"/>
        </w:rPr>
        <w:t xml:space="preserve">, en Intestino Delgado </w:t>
      </w:r>
      <w:proofErr w:type="spellStart"/>
      <w:r w:rsidR="00D518F4">
        <w:rPr>
          <w:sz w:val="20"/>
          <w:szCs w:val="20"/>
        </w:rPr>
        <w:t>Campilobacter</w:t>
      </w:r>
      <w:proofErr w:type="spellEnd"/>
      <w:r w:rsidR="00D518F4">
        <w:rPr>
          <w:sz w:val="20"/>
          <w:szCs w:val="20"/>
        </w:rPr>
        <w:t xml:space="preserve"> </w:t>
      </w:r>
      <w:proofErr w:type="spellStart"/>
      <w:r w:rsidR="00D518F4">
        <w:rPr>
          <w:sz w:val="20"/>
          <w:szCs w:val="20"/>
        </w:rPr>
        <w:t>Jejuni</w:t>
      </w:r>
      <w:proofErr w:type="spellEnd"/>
      <w:r w:rsidR="00D518F4">
        <w:rPr>
          <w:sz w:val="20"/>
          <w:szCs w:val="20"/>
        </w:rPr>
        <w:t xml:space="preserve">, en Pulmón </w:t>
      </w:r>
      <w:proofErr w:type="spellStart"/>
      <w:r w:rsidR="00D518F4">
        <w:rPr>
          <w:sz w:val="20"/>
          <w:szCs w:val="20"/>
        </w:rPr>
        <w:t>Achromobacter</w:t>
      </w:r>
      <w:proofErr w:type="spellEnd"/>
      <w:r w:rsidR="00D518F4">
        <w:rPr>
          <w:sz w:val="20"/>
          <w:szCs w:val="20"/>
        </w:rPr>
        <w:t xml:space="preserve"> </w:t>
      </w:r>
      <w:proofErr w:type="spellStart"/>
      <w:r w:rsidR="00D518F4">
        <w:rPr>
          <w:sz w:val="20"/>
          <w:szCs w:val="20"/>
        </w:rPr>
        <w:t>xylosoxidans</w:t>
      </w:r>
      <w:proofErr w:type="spellEnd"/>
      <w:r w:rsidR="00D518F4">
        <w:rPr>
          <w:sz w:val="20"/>
          <w:szCs w:val="20"/>
        </w:rPr>
        <w:t xml:space="preserve">. </w:t>
      </w:r>
      <w:proofErr w:type="spellStart"/>
      <w:r w:rsidR="00D518F4">
        <w:rPr>
          <w:sz w:val="20"/>
          <w:szCs w:val="20"/>
        </w:rPr>
        <w:t>Ademas</w:t>
      </w:r>
      <w:proofErr w:type="spellEnd"/>
      <w:r w:rsidR="00D518F4">
        <w:rPr>
          <w:sz w:val="20"/>
          <w:szCs w:val="20"/>
        </w:rPr>
        <w:t xml:space="preserve"> de la relación existente con enfermedades Autoinmune como </w:t>
      </w:r>
      <w:proofErr w:type="spellStart"/>
      <w:r w:rsidR="00D518F4">
        <w:rPr>
          <w:sz w:val="20"/>
          <w:szCs w:val="20"/>
        </w:rPr>
        <w:t>Sindrome</w:t>
      </w:r>
      <w:proofErr w:type="spellEnd"/>
      <w:r w:rsidR="00D518F4">
        <w:rPr>
          <w:sz w:val="20"/>
          <w:szCs w:val="20"/>
        </w:rPr>
        <w:t xml:space="preserve"> de </w:t>
      </w:r>
      <w:proofErr w:type="spellStart"/>
      <w:r w:rsidR="00D518F4">
        <w:rPr>
          <w:sz w:val="20"/>
          <w:szCs w:val="20"/>
        </w:rPr>
        <w:t>Sjogren</w:t>
      </w:r>
      <w:proofErr w:type="spellEnd"/>
      <w:r w:rsidR="00D518F4">
        <w:rPr>
          <w:sz w:val="20"/>
          <w:szCs w:val="20"/>
        </w:rPr>
        <w:t xml:space="preserve">, Tiroiditis de Hashimoto y Neumonitis Intersticial Linfoide entre otras de menor frecuencia. </w:t>
      </w:r>
    </w:p>
    <w:p w14:paraId="09549921" w14:textId="0D83324D" w:rsidR="00D6779B" w:rsidRDefault="00D6779B" w:rsidP="00F67328">
      <w:pPr>
        <w:pStyle w:val="Default"/>
        <w:jc w:val="both"/>
        <w:rPr>
          <w:sz w:val="20"/>
          <w:szCs w:val="20"/>
        </w:rPr>
      </w:pPr>
    </w:p>
    <w:p w14:paraId="1155A3BD" w14:textId="3D6D67FF" w:rsidR="00D6779B" w:rsidRDefault="00D6779B" w:rsidP="00F67328">
      <w:pPr>
        <w:pStyle w:val="Default"/>
        <w:jc w:val="both"/>
        <w:rPr>
          <w:sz w:val="20"/>
          <w:szCs w:val="20"/>
          <w:lang w:val="es-PY"/>
        </w:rPr>
      </w:pPr>
      <w:r w:rsidRPr="00D6779B">
        <w:rPr>
          <w:sz w:val="20"/>
          <w:szCs w:val="20"/>
          <w:lang w:val="es-PY"/>
        </w:rPr>
        <w:t>Se han descrito alteraciones citogenéticas en el LMALT, como las trisomías del cromosoma 3 y 18 y las deleciones del 6q, que aparecen independientemente de la localización anatómica. También son frecuentes las translocaciones en este tipo de linfomas, que se asocian a la localización anatómica donde aparece el linfoma: o t(11;18)(q21;q21)(API2-MALT1), 15-40%</w:t>
      </w:r>
      <w:r>
        <w:rPr>
          <w:sz w:val="20"/>
          <w:szCs w:val="20"/>
          <w:lang w:val="es-PY"/>
        </w:rPr>
        <w:t xml:space="preserve"> </w:t>
      </w:r>
      <w:r w:rsidRPr="00D6779B">
        <w:rPr>
          <w:sz w:val="20"/>
          <w:szCs w:val="20"/>
          <w:lang w:val="es-PY"/>
        </w:rPr>
        <w:t>detectada especialmente en LMALT gástricos</w:t>
      </w:r>
      <w:r>
        <w:rPr>
          <w:sz w:val="20"/>
          <w:szCs w:val="20"/>
          <w:lang w:val="es-PY"/>
        </w:rPr>
        <w:t xml:space="preserve">, </w:t>
      </w:r>
      <w:r w:rsidRPr="00D6779B">
        <w:rPr>
          <w:sz w:val="20"/>
          <w:szCs w:val="20"/>
          <w:lang w:val="es-PY"/>
        </w:rPr>
        <w:t>(10-40%), se asocia a una escasa respuesta al tratamiento antibiótico erradicador del H. pylori, y por tanto deben considerarse tratamientos alternativos. Esta anomalía también se detecta en LMALT pulmonares o t(14;18)(q32;q21)(IGH-MALT1), 20%</w:t>
      </w:r>
      <w:r>
        <w:rPr>
          <w:sz w:val="20"/>
          <w:szCs w:val="20"/>
          <w:lang w:val="es-PY"/>
        </w:rPr>
        <w:t xml:space="preserve"> </w:t>
      </w:r>
      <w:r w:rsidRPr="00D6779B">
        <w:rPr>
          <w:sz w:val="20"/>
          <w:szCs w:val="20"/>
          <w:lang w:val="es-PY"/>
        </w:rPr>
        <w:t xml:space="preserve"> se detecta principalmente en linfomas de anexos oculares/ órbita y glándula salival o t(3;14)(p14.1;q32)(IGH-FOXP1)</w:t>
      </w:r>
      <w:r>
        <w:rPr>
          <w:sz w:val="20"/>
          <w:szCs w:val="20"/>
          <w:lang w:val="es-PY"/>
        </w:rPr>
        <w:t>.</w:t>
      </w:r>
      <w:r>
        <w:rPr>
          <w:rStyle w:val="Refdenotaalfinal"/>
          <w:sz w:val="20"/>
          <w:szCs w:val="20"/>
          <w:lang w:val="es-PY"/>
        </w:rPr>
        <w:endnoteReference w:id="3"/>
      </w:r>
      <w:r>
        <w:rPr>
          <w:sz w:val="20"/>
          <w:szCs w:val="20"/>
          <w:lang w:val="es-PY"/>
        </w:rPr>
        <w:t xml:space="preserve"> Actualmente esta bien estudiada la relacion entre los linfomas MALT y la enfermedad por IgG4 que tambien representa un gran desafio</w:t>
      </w:r>
    </w:p>
    <w:p w14:paraId="2312BF46" w14:textId="21409748" w:rsidR="00D6779B" w:rsidRDefault="00D6779B" w:rsidP="00F67328">
      <w:pPr>
        <w:pStyle w:val="Default"/>
        <w:jc w:val="both"/>
        <w:rPr>
          <w:sz w:val="20"/>
          <w:szCs w:val="20"/>
          <w:lang w:val="es-PY"/>
        </w:rPr>
      </w:pPr>
    </w:p>
    <w:p w14:paraId="45F85722" w14:textId="2741A4B9" w:rsidR="00D6779B" w:rsidRPr="00D6779B" w:rsidRDefault="00D6779B" w:rsidP="00F67328">
      <w:pPr>
        <w:pStyle w:val="Default"/>
        <w:jc w:val="both"/>
        <w:rPr>
          <w:sz w:val="20"/>
          <w:szCs w:val="20"/>
          <w:lang w:val="es-PY"/>
        </w:rPr>
      </w:pPr>
      <w:r>
        <w:rPr>
          <w:sz w:val="20"/>
          <w:szCs w:val="20"/>
          <w:lang w:val="es-PY"/>
        </w:rPr>
        <w:t>Es importante recalcar que el seguimiento de estos pacientes no solamnete debe hacerse teniendo en cuenta el laboratorio o la histopatologia ya que pueden haber respuestas lentas donde la clinica es lo que nos guia para tomar las mejores desiciones.</w:t>
      </w:r>
      <w:r>
        <w:rPr>
          <w:rStyle w:val="Refdenotaalfinal"/>
          <w:sz w:val="20"/>
          <w:szCs w:val="20"/>
          <w:lang w:val="es-PY"/>
        </w:rPr>
        <w:endnoteReference w:id="4"/>
      </w:r>
    </w:p>
    <w:p w14:paraId="043CB402" w14:textId="77777777" w:rsidR="00D518F4" w:rsidRDefault="00D518F4" w:rsidP="00F67328">
      <w:pPr>
        <w:pStyle w:val="Default"/>
        <w:jc w:val="both"/>
        <w:rPr>
          <w:sz w:val="20"/>
          <w:szCs w:val="20"/>
        </w:rPr>
      </w:pPr>
    </w:p>
    <w:p w14:paraId="0990580D" w14:textId="3407975B" w:rsidR="00EE4A9A" w:rsidRDefault="00D6779B" w:rsidP="00D677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tratamiento indicado en los estadios </w:t>
      </w:r>
      <w:proofErr w:type="gramStart"/>
      <w:r>
        <w:rPr>
          <w:sz w:val="20"/>
          <w:szCs w:val="20"/>
        </w:rPr>
        <w:t>localizados  es</w:t>
      </w:r>
      <w:proofErr w:type="gramEnd"/>
      <w:r>
        <w:rPr>
          <w:sz w:val="20"/>
          <w:szCs w:val="20"/>
        </w:rPr>
        <w:t xml:space="preserve"> tratamiento del patógeno relacionado o la enfermedad autoinmune asociada, posteriormente sigue siendo la Radioterapia local el </w:t>
      </w:r>
      <w:proofErr w:type="spellStart"/>
      <w:r>
        <w:rPr>
          <w:sz w:val="20"/>
          <w:szCs w:val="20"/>
        </w:rPr>
        <w:t>gold</w:t>
      </w:r>
      <w:proofErr w:type="spellEnd"/>
      <w:r>
        <w:rPr>
          <w:sz w:val="20"/>
          <w:szCs w:val="20"/>
        </w:rPr>
        <w:t xml:space="preserve"> estándar en Linfomas MALT localizados</w:t>
      </w:r>
      <w:r>
        <w:rPr>
          <w:rStyle w:val="Refdenotaalfinal"/>
          <w:sz w:val="20"/>
          <w:szCs w:val="20"/>
        </w:rPr>
        <w:endnoteReference w:id="5"/>
      </w:r>
      <w:r>
        <w:rPr>
          <w:sz w:val="20"/>
          <w:szCs w:val="20"/>
        </w:rPr>
        <w:t xml:space="preserve">, la terapia </w:t>
      </w:r>
      <w:proofErr w:type="spellStart"/>
      <w:r>
        <w:rPr>
          <w:sz w:val="20"/>
          <w:szCs w:val="20"/>
        </w:rPr>
        <w:t>sistemica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inmunoquimioterapia</w:t>
      </w:r>
      <w:proofErr w:type="spellEnd"/>
      <w:r>
        <w:rPr>
          <w:sz w:val="20"/>
          <w:szCs w:val="20"/>
        </w:rPr>
        <w:t xml:space="preserve"> se deja a casos diseminados o refractarios logrando excelentes resultados en la mayoría de los casos.</w:t>
      </w:r>
      <w:r>
        <w:rPr>
          <w:rStyle w:val="Refdenotaalfinal"/>
          <w:sz w:val="20"/>
          <w:szCs w:val="20"/>
        </w:rPr>
        <w:endnoteReference w:id="6"/>
      </w:r>
    </w:p>
    <w:p w14:paraId="5C7E47F9" w14:textId="739C0F38" w:rsidR="00D6779B" w:rsidRDefault="00D6779B" w:rsidP="00D6779B">
      <w:pPr>
        <w:pStyle w:val="Default"/>
        <w:jc w:val="both"/>
        <w:rPr>
          <w:sz w:val="20"/>
          <w:szCs w:val="20"/>
        </w:rPr>
      </w:pPr>
    </w:p>
    <w:p w14:paraId="4500C989" w14:textId="22A4CC3E" w:rsidR="00D6779B" w:rsidRDefault="00D6779B" w:rsidP="00D6779B">
      <w:pPr>
        <w:pStyle w:val="Default"/>
        <w:jc w:val="both"/>
        <w:rPr>
          <w:sz w:val="20"/>
          <w:szCs w:val="20"/>
        </w:rPr>
      </w:pPr>
    </w:p>
    <w:p w14:paraId="21D2A137" w14:textId="77777777" w:rsidR="00EE4A9A" w:rsidRPr="00490588" w:rsidRDefault="00EE4A9A" w:rsidP="00EE4A9A">
      <w:pPr>
        <w:ind w:right="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90588">
        <w:rPr>
          <w:rFonts w:ascii="Arial" w:eastAsia="Arial" w:hAnsi="Arial" w:cs="Arial"/>
          <w:b/>
          <w:color w:val="000000"/>
          <w:sz w:val="20"/>
          <w:szCs w:val="20"/>
        </w:rPr>
        <w:t>OBJETIVOS</w:t>
      </w:r>
    </w:p>
    <w:p w14:paraId="287F7534" w14:textId="77777777" w:rsidR="00EE4A9A" w:rsidRDefault="00EE4A9A" w:rsidP="00EE4A9A">
      <w:pPr>
        <w:pStyle w:val="Default"/>
        <w:jc w:val="both"/>
        <w:rPr>
          <w:sz w:val="20"/>
          <w:szCs w:val="20"/>
        </w:rPr>
      </w:pPr>
    </w:p>
    <w:p w14:paraId="3CC00489" w14:textId="77777777" w:rsidR="00EE4A9A" w:rsidRPr="00C44A59" w:rsidRDefault="00EE4A9A" w:rsidP="00EE4A9A">
      <w:pPr>
        <w:pStyle w:val="Default"/>
        <w:jc w:val="both"/>
        <w:rPr>
          <w:b/>
          <w:sz w:val="20"/>
          <w:szCs w:val="20"/>
        </w:rPr>
      </w:pPr>
      <w:r w:rsidRPr="00C44A59">
        <w:rPr>
          <w:b/>
          <w:sz w:val="20"/>
          <w:szCs w:val="20"/>
        </w:rPr>
        <w:t>General</w:t>
      </w:r>
    </w:p>
    <w:p w14:paraId="2D7AE1E6" w14:textId="77777777" w:rsidR="00EE4A9A" w:rsidRDefault="00EE4A9A" w:rsidP="00EE4A9A">
      <w:pPr>
        <w:pStyle w:val="Default"/>
        <w:jc w:val="both"/>
        <w:rPr>
          <w:sz w:val="20"/>
          <w:szCs w:val="20"/>
        </w:rPr>
      </w:pPr>
    </w:p>
    <w:p w14:paraId="4B7A466D" w14:textId="49FF5A80" w:rsidR="00EE4A9A" w:rsidRPr="00126B1C" w:rsidRDefault="00EE4A9A" w:rsidP="00F67328">
      <w:pPr>
        <w:pStyle w:val="Default"/>
        <w:jc w:val="both"/>
        <w:rPr>
          <w:sz w:val="20"/>
          <w:szCs w:val="20"/>
        </w:rPr>
      </w:pPr>
      <w:r w:rsidRPr="00126B1C">
        <w:rPr>
          <w:sz w:val="20"/>
          <w:szCs w:val="20"/>
        </w:rPr>
        <w:t>Describir l</w:t>
      </w:r>
      <w:r w:rsidR="00D6779B">
        <w:rPr>
          <w:sz w:val="20"/>
          <w:szCs w:val="20"/>
        </w:rPr>
        <w:t>os métodos de diagnostico disponibles, l</w:t>
      </w:r>
      <w:r w:rsidRPr="00126B1C">
        <w:rPr>
          <w:sz w:val="20"/>
          <w:szCs w:val="20"/>
        </w:rPr>
        <w:t xml:space="preserve">as características clínicas y los resultados tratamiento de rescate en pacientes </w:t>
      </w:r>
      <w:r w:rsidR="00BD1CF7" w:rsidRPr="00126B1C">
        <w:rPr>
          <w:sz w:val="20"/>
          <w:szCs w:val="20"/>
        </w:rPr>
        <w:t xml:space="preserve">con </w:t>
      </w:r>
      <w:r w:rsidR="00BD1CF7">
        <w:rPr>
          <w:sz w:val="20"/>
          <w:szCs w:val="20"/>
        </w:rPr>
        <w:t>Linfoma</w:t>
      </w:r>
      <w:r w:rsidRPr="00126B1C">
        <w:rPr>
          <w:sz w:val="20"/>
          <w:szCs w:val="20"/>
        </w:rPr>
        <w:t xml:space="preserve"> </w:t>
      </w:r>
      <w:r w:rsidR="00D6779B">
        <w:rPr>
          <w:sz w:val="20"/>
          <w:szCs w:val="20"/>
        </w:rPr>
        <w:t>MALT</w:t>
      </w:r>
      <w:r>
        <w:rPr>
          <w:sz w:val="20"/>
          <w:szCs w:val="20"/>
        </w:rPr>
        <w:t xml:space="preserve"> atendidos en </w:t>
      </w:r>
      <w:r w:rsidRPr="006365F5">
        <w:rPr>
          <w:sz w:val="20"/>
          <w:szCs w:val="20"/>
        </w:rPr>
        <w:t xml:space="preserve">Centros de Referencia Oncológicos en Latinoamérica </w:t>
      </w:r>
      <w:r>
        <w:rPr>
          <w:sz w:val="20"/>
          <w:szCs w:val="20"/>
        </w:rPr>
        <w:t>durante el periodo comprendido entre 201</w:t>
      </w:r>
      <w:r w:rsidR="00D6779B">
        <w:rPr>
          <w:sz w:val="20"/>
          <w:szCs w:val="20"/>
        </w:rPr>
        <w:t>5</w:t>
      </w:r>
      <w:r>
        <w:rPr>
          <w:sz w:val="20"/>
          <w:szCs w:val="20"/>
        </w:rPr>
        <w:t xml:space="preserve"> a 202</w:t>
      </w:r>
      <w:r w:rsidR="00D6779B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2CECA8E7" w14:textId="77777777" w:rsidR="00EE4A9A" w:rsidRPr="00490588" w:rsidRDefault="00EE4A9A" w:rsidP="00EE4A9A">
      <w:pPr>
        <w:jc w:val="both"/>
        <w:rPr>
          <w:rFonts w:ascii="Arial" w:hAnsi="Arial" w:cs="Arial"/>
          <w:sz w:val="20"/>
          <w:szCs w:val="20"/>
          <w:lang w:eastAsia="es-CO"/>
        </w:rPr>
      </w:pPr>
    </w:p>
    <w:p w14:paraId="0E186F93" w14:textId="77777777" w:rsidR="00EE4A9A" w:rsidRDefault="00EE4A9A" w:rsidP="00EE4A9A">
      <w:pPr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5A7D2315" w14:textId="77777777" w:rsidR="00EE4A9A" w:rsidRPr="00490588" w:rsidRDefault="00EE4A9A" w:rsidP="00EE4A9A">
      <w:pPr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490588">
        <w:rPr>
          <w:rFonts w:ascii="Arial" w:hAnsi="Arial" w:cs="Arial"/>
          <w:b/>
          <w:bCs/>
          <w:sz w:val="20"/>
          <w:szCs w:val="20"/>
          <w:lang w:eastAsia="es-CO"/>
        </w:rPr>
        <w:t>Objetivos específicos</w:t>
      </w:r>
    </w:p>
    <w:p w14:paraId="0DB7BDD0" w14:textId="77777777" w:rsidR="00EE4A9A" w:rsidRPr="004662BE" w:rsidRDefault="00EE4A9A" w:rsidP="00EE4A9A">
      <w:p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</w:p>
    <w:p w14:paraId="0C0B0B6E" w14:textId="68868B04" w:rsidR="00D6779B" w:rsidRDefault="00D6779B" w:rsidP="00EE4A9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Describir los métodos de diagnostico mas utilizados en la región, el acceso a FISH y biología molecular para diagnostico en este tipo de linfomas </w:t>
      </w:r>
    </w:p>
    <w:p w14:paraId="5CF99E97" w14:textId="128178FC" w:rsidR="00EE4A9A" w:rsidRPr="00F67328" w:rsidRDefault="00EE4A9A" w:rsidP="00EE4A9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  <w:r w:rsidRPr="00F67328">
        <w:rPr>
          <w:rFonts w:ascii="Arial" w:hAnsi="Arial" w:cs="Arial"/>
          <w:sz w:val="20"/>
          <w:szCs w:val="20"/>
        </w:rPr>
        <w:t xml:space="preserve">Describir los esquemas mas utilizados como tratamiento en los Centros de Referencia de Latinoamérica </w:t>
      </w:r>
    </w:p>
    <w:p w14:paraId="6F45F260" w14:textId="13A20B9B" w:rsidR="00EE4A9A" w:rsidRPr="00F67328" w:rsidRDefault="00EE4A9A" w:rsidP="00EE4A9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  <w:r w:rsidRPr="00F67328">
        <w:rPr>
          <w:rFonts w:ascii="Arial" w:hAnsi="Arial" w:cs="Arial"/>
          <w:sz w:val="20"/>
          <w:szCs w:val="20"/>
        </w:rPr>
        <w:t>Describir el acceso a nueva</w:t>
      </w:r>
      <w:r w:rsidR="00D6779B">
        <w:rPr>
          <w:rFonts w:ascii="Arial" w:hAnsi="Arial" w:cs="Arial"/>
          <w:sz w:val="20"/>
          <w:szCs w:val="20"/>
        </w:rPr>
        <w:t>s drogas</w:t>
      </w:r>
      <w:r w:rsidRPr="00F67328">
        <w:rPr>
          <w:rFonts w:ascii="Arial" w:hAnsi="Arial" w:cs="Arial"/>
          <w:sz w:val="20"/>
          <w:szCs w:val="20"/>
        </w:rPr>
        <w:t xml:space="preserve"> con los que se cuenta en la región </w:t>
      </w:r>
    </w:p>
    <w:p w14:paraId="69703FD0" w14:textId="1F58F1CC" w:rsidR="00EE4A9A" w:rsidRPr="00F67328" w:rsidRDefault="00EE4A9A" w:rsidP="00EE4A9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  <w:r w:rsidRPr="00F67328">
        <w:rPr>
          <w:rFonts w:ascii="Arial" w:hAnsi="Arial" w:cs="Arial"/>
          <w:sz w:val="20"/>
          <w:szCs w:val="20"/>
        </w:rPr>
        <w:t>Describir la</w:t>
      </w:r>
      <w:r w:rsidR="00D6779B">
        <w:rPr>
          <w:rFonts w:ascii="Arial" w:hAnsi="Arial" w:cs="Arial"/>
          <w:sz w:val="20"/>
          <w:szCs w:val="20"/>
        </w:rPr>
        <w:t xml:space="preserve">s respuestas logrados con los tratamientos accesibles actualmente en la región </w:t>
      </w:r>
    </w:p>
    <w:p w14:paraId="124D00FB" w14:textId="477F488F" w:rsidR="00EE4A9A" w:rsidRPr="00F67328" w:rsidRDefault="00EE4A9A" w:rsidP="00F67328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F67328">
        <w:rPr>
          <w:rFonts w:ascii="Arial" w:hAnsi="Arial" w:cs="Arial"/>
          <w:sz w:val="20"/>
          <w:szCs w:val="20"/>
        </w:rPr>
        <w:t xml:space="preserve">Unir los datos de los centros latinoamericanos que conformamos el grupo GELL para tener </w:t>
      </w:r>
      <w:r w:rsidR="00BD1CF7" w:rsidRPr="00F67328">
        <w:rPr>
          <w:rFonts w:ascii="Arial" w:hAnsi="Arial" w:cs="Arial"/>
          <w:sz w:val="20"/>
          <w:szCs w:val="20"/>
        </w:rPr>
        <w:t>un registro</w:t>
      </w:r>
      <w:r w:rsidRPr="00F67328">
        <w:rPr>
          <w:rFonts w:ascii="Arial" w:hAnsi="Arial" w:cs="Arial"/>
          <w:sz w:val="20"/>
          <w:szCs w:val="20"/>
        </w:rPr>
        <w:t xml:space="preserve"> Latino Americano de Linfomas </w:t>
      </w:r>
      <w:r w:rsidR="00D6779B">
        <w:rPr>
          <w:rFonts w:ascii="Arial" w:hAnsi="Arial" w:cs="Arial"/>
          <w:sz w:val="20"/>
          <w:szCs w:val="20"/>
        </w:rPr>
        <w:t xml:space="preserve">MALT </w:t>
      </w:r>
      <w:r w:rsidRPr="00F67328">
        <w:rPr>
          <w:rFonts w:ascii="Arial" w:hAnsi="Arial" w:cs="Arial"/>
          <w:sz w:val="20"/>
          <w:szCs w:val="20"/>
        </w:rPr>
        <w:t xml:space="preserve"> y buscar alternativas conjuntas en mejorar el acceso terapeutico</w:t>
      </w:r>
    </w:p>
    <w:p w14:paraId="2F2B5EAC" w14:textId="362373D1" w:rsidR="00EE4A9A" w:rsidRPr="00F67328" w:rsidRDefault="00EE4A9A" w:rsidP="00F67328">
      <w:pPr>
        <w:pStyle w:val="NormalWeb"/>
        <w:numPr>
          <w:ilvl w:val="0"/>
          <w:numId w:val="2"/>
        </w:numPr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F67328">
        <w:rPr>
          <w:rFonts w:ascii="Arial" w:hAnsi="Arial" w:cs="Arial"/>
          <w:sz w:val="20"/>
          <w:szCs w:val="20"/>
        </w:rPr>
        <w:t xml:space="preserve">Evaluar SLP y SG de pacientes con </w:t>
      </w:r>
      <w:r w:rsidR="00D6779B">
        <w:rPr>
          <w:rFonts w:ascii="Arial" w:hAnsi="Arial" w:cs="Arial"/>
          <w:sz w:val="20"/>
          <w:szCs w:val="20"/>
        </w:rPr>
        <w:t>Linfomas MALT</w:t>
      </w:r>
      <w:r w:rsidRPr="00F67328">
        <w:rPr>
          <w:rFonts w:ascii="Arial" w:hAnsi="Arial" w:cs="Arial"/>
          <w:sz w:val="20"/>
          <w:szCs w:val="20"/>
        </w:rPr>
        <w:t xml:space="preserve"> en latino América. </w:t>
      </w:r>
    </w:p>
    <w:p w14:paraId="1F128039" w14:textId="77777777" w:rsidR="00EE4A9A" w:rsidRDefault="00EE4A9A" w:rsidP="00EE4A9A">
      <w:pPr>
        <w:pStyle w:val="Prrafodelista"/>
        <w:keepNext/>
        <w:widowControl w:val="0"/>
        <w:tabs>
          <w:tab w:val="left" w:pos="284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DDBBCE2" w14:textId="4AA46063" w:rsidR="00EE4A9A" w:rsidRPr="00490588" w:rsidRDefault="00EE4A9A" w:rsidP="00EE4A9A">
      <w:pPr>
        <w:pStyle w:val="Prrafodelista"/>
        <w:keepNext/>
        <w:widowControl w:val="0"/>
        <w:tabs>
          <w:tab w:val="left" w:pos="284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490588">
        <w:rPr>
          <w:rFonts w:ascii="Arial" w:hAnsi="Arial" w:cs="Arial"/>
          <w:b/>
          <w:sz w:val="20"/>
          <w:szCs w:val="20"/>
        </w:rPr>
        <w:t>METODOLOGÍA</w:t>
      </w:r>
    </w:p>
    <w:p w14:paraId="69136CD1" w14:textId="77777777" w:rsidR="00EE4A9A" w:rsidRPr="00EE4A9A" w:rsidRDefault="00EE4A9A" w:rsidP="00EE4A9A">
      <w:pPr>
        <w:keepNext/>
        <w:widowControl w:val="0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94279AD" w14:textId="77777777" w:rsidR="00EE4A9A" w:rsidRPr="00490588" w:rsidRDefault="00EE4A9A" w:rsidP="00EE4A9A">
      <w:pPr>
        <w:pStyle w:val="Prrafodelista"/>
        <w:ind w:left="360" w:right="13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490588">
        <w:rPr>
          <w:rFonts w:ascii="Arial" w:hAnsi="Arial" w:cs="Arial"/>
          <w:b/>
          <w:bCs/>
          <w:sz w:val="20"/>
          <w:szCs w:val="20"/>
        </w:rPr>
        <w:t xml:space="preserve">Diseño del estudio: </w:t>
      </w:r>
    </w:p>
    <w:p w14:paraId="76429CF7" w14:textId="77777777" w:rsidR="00EE4A9A" w:rsidRPr="00490588" w:rsidRDefault="00EE4A9A" w:rsidP="00EE4A9A">
      <w:pPr>
        <w:pStyle w:val="Prrafodelista"/>
        <w:ind w:left="360" w:right="13"/>
        <w:jc w:val="both"/>
        <w:rPr>
          <w:rFonts w:ascii="Arial" w:hAnsi="Arial" w:cs="Arial"/>
          <w:sz w:val="20"/>
          <w:szCs w:val="20"/>
          <w:lang w:val="es-ES"/>
        </w:rPr>
      </w:pPr>
    </w:p>
    <w:p w14:paraId="748C95A1" w14:textId="48F7F662" w:rsidR="00EE4A9A" w:rsidRPr="00151DEB" w:rsidRDefault="00EE4A9A" w:rsidP="00EE4A9A">
      <w:pPr>
        <w:pStyle w:val="Prrafodelista"/>
        <w:ind w:left="360" w:right="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 xml:space="preserve">Estudio de Cohorte </w:t>
      </w:r>
      <w:r w:rsidR="00F67328">
        <w:rPr>
          <w:rFonts w:ascii="Arial" w:hAnsi="Arial" w:cs="Arial"/>
          <w:sz w:val="20"/>
          <w:szCs w:val="20"/>
          <w:lang w:val="es-ES"/>
        </w:rPr>
        <w:t>transversal analítico</w:t>
      </w:r>
    </w:p>
    <w:p w14:paraId="36BD4BF8" w14:textId="77777777" w:rsidR="00EE4A9A" w:rsidRPr="00EE4A9A" w:rsidRDefault="00EE4A9A" w:rsidP="00EE4A9A">
      <w:pPr>
        <w:ind w:right="13"/>
        <w:jc w:val="both"/>
        <w:rPr>
          <w:rFonts w:ascii="Arial" w:hAnsi="Arial" w:cs="Arial"/>
          <w:bCs/>
          <w:sz w:val="20"/>
          <w:szCs w:val="20"/>
        </w:rPr>
      </w:pPr>
    </w:p>
    <w:p w14:paraId="17183958" w14:textId="6A2099C0" w:rsidR="00EE4A9A" w:rsidRDefault="00EE4A9A" w:rsidP="00F6732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Población de estudio: </w:t>
      </w:r>
      <w:r>
        <w:rPr>
          <w:sz w:val="20"/>
          <w:szCs w:val="20"/>
        </w:rPr>
        <w:t xml:space="preserve">Pacientes consecutivos con diagnóstico de Linfoma de </w:t>
      </w:r>
      <w:r w:rsidR="00D6779B">
        <w:rPr>
          <w:sz w:val="20"/>
          <w:szCs w:val="20"/>
        </w:rPr>
        <w:t>MALT</w:t>
      </w:r>
      <w:r>
        <w:rPr>
          <w:sz w:val="20"/>
          <w:szCs w:val="20"/>
        </w:rPr>
        <w:t xml:space="preserve"> valorados por los Servicios de Referencia en Hematología de </w:t>
      </w:r>
      <w:r w:rsidR="00F67328">
        <w:rPr>
          <w:sz w:val="20"/>
          <w:szCs w:val="20"/>
        </w:rPr>
        <w:t>Latinoamérica</w:t>
      </w:r>
      <w:r>
        <w:rPr>
          <w:sz w:val="20"/>
          <w:szCs w:val="20"/>
        </w:rPr>
        <w:t xml:space="preserve"> durante el periodo comprendido entre enero de 201</w:t>
      </w:r>
      <w:r w:rsidR="00D6779B">
        <w:rPr>
          <w:sz w:val="20"/>
          <w:szCs w:val="20"/>
        </w:rPr>
        <w:t xml:space="preserve">5 </w:t>
      </w:r>
      <w:r>
        <w:rPr>
          <w:sz w:val="20"/>
          <w:szCs w:val="20"/>
        </w:rPr>
        <w:t>y diciembre de 202</w:t>
      </w:r>
      <w:r w:rsidR="005B3514">
        <w:rPr>
          <w:sz w:val="20"/>
          <w:szCs w:val="20"/>
        </w:rPr>
        <w:t>3</w:t>
      </w:r>
      <w:r w:rsidR="00D6779B">
        <w:rPr>
          <w:sz w:val="20"/>
          <w:szCs w:val="20"/>
        </w:rPr>
        <w:t xml:space="preserve">. </w:t>
      </w:r>
    </w:p>
    <w:p w14:paraId="175CAD0D" w14:textId="77777777" w:rsidR="00EE4A9A" w:rsidRDefault="00EE4A9A" w:rsidP="00EE4A9A">
      <w:pPr>
        <w:pStyle w:val="Default"/>
        <w:rPr>
          <w:b/>
          <w:bCs/>
          <w:sz w:val="20"/>
          <w:szCs w:val="20"/>
        </w:rPr>
      </w:pPr>
    </w:p>
    <w:p w14:paraId="59679B85" w14:textId="77777777" w:rsidR="00EE4A9A" w:rsidRDefault="00EE4A9A" w:rsidP="00EE4A9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Criterios de selección: </w:t>
      </w:r>
    </w:p>
    <w:p w14:paraId="76C62850" w14:textId="77777777" w:rsidR="00EE4A9A" w:rsidRDefault="00EE4A9A" w:rsidP="00EE4A9A">
      <w:pPr>
        <w:pStyle w:val="Default"/>
        <w:rPr>
          <w:b/>
          <w:bCs/>
          <w:sz w:val="20"/>
          <w:szCs w:val="20"/>
        </w:rPr>
      </w:pPr>
    </w:p>
    <w:p w14:paraId="2B056D97" w14:textId="77777777" w:rsidR="00EE4A9A" w:rsidRDefault="00EE4A9A" w:rsidP="00EE4A9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Criterios de inclusión </w:t>
      </w:r>
    </w:p>
    <w:p w14:paraId="0A49FC52" w14:textId="77777777" w:rsidR="00EE4A9A" w:rsidRDefault="00EE4A9A" w:rsidP="00EE4A9A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Pacientes mayores de 18 años de edad </w:t>
      </w:r>
    </w:p>
    <w:p w14:paraId="53618DAF" w14:textId="2673D6E9" w:rsidR="00EE4A9A" w:rsidRDefault="00EE4A9A" w:rsidP="00EE4A9A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Diagnóstico histopatológico de Linfoma de </w:t>
      </w:r>
      <w:r w:rsidR="00D6779B">
        <w:rPr>
          <w:sz w:val="20"/>
          <w:szCs w:val="20"/>
        </w:rPr>
        <w:t>MALT</w:t>
      </w:r>
      <w:r w:rsidR="00F673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 confirmación por el grupo de patología institucional (en cualquier momento: al diagnóstico o a la recaída) </w:t>
      </w:r>
    </w:p>
    <w:p w14:paraId="60855FBE" w14:textId="5E1BD15B" w:rsidR="00EE4A9A" w:rsidRDefault="00EE4A9A" w:rsidP="00EE4A9A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Recaídos desde la respuesta completa (CR) o respuesta parcial (PR) o refractarios con un esquema de tratamiento </w:t>
      </w:r>
      <w:r w:rsidR="00D6779B">
        <w:rPr>
          <w:sz w:val="20"/>
          <w:szCs w:val="20"/>
        </w:rPr>
        <w:t>previo</w:t>
      </w:r>
      <w:r>
        <w:rPr>
          <w:sz w:val="20"/>
          <w:szCs w:val="20"/>
        </w:rPr>
        <w:t xml:space="preserve">. </w:t>
      </w:r>
    </w:p>
    <w:p w14:paraId="77B6EECF" w14:textId="05AAE4A6" w:rsidR="00EE4A9A" w:rsidRDefault="00EE4A9A" w:rsidP="00EE4A9A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Haber recibido el </w:t>
      </w:r>
      <w:r w:rsidR="00D6779B">
        <w:rPr>
          <w:sz w:val="20"/>
          <w:szCs w:val="20"/>
        </w:rPr>
        <w:t xml:space="preserve">todo el tratamiento </w:t>
      </w:r>
      <w:r>
        <w:rPr>
          <w:sz w:val="20"/>
          <w:szCs w:val="20"/>
        </w:rPr>
        <w:t xml:space="preserve">en la institución </w:t>
      </w:r>
      <w:r w:rsidR="00BD1CF7">
        <w:rPr>
          <w:sz w:val="20"/>
          <w:szCs w:val="20"/>
        </w:rPr>
        <w:t xml:space="preserve">que reporta </w:t>
      </w:r>
    </w:p>
    <w:p w14:paraId="3FF485E4" w14:textId="77777777" w:rsidR="00EE4A9A" w:rsidRDefault="00EE4A9A" w:rsidP="00EE4A9A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Información del seguimiento disponible en la historia clínica </w:t>
      </w:r>
    </w:p>
    <w:p w14:paraId="22C15E10" w14:textId="77777777" w:rsidR="00EE4A9A" w:rsidRDefault="00EE4A9A" w:rsidP="00EE4A9A">
      <w:pPr>
        <w:pStyle w:val="Default"/>
        <w:rPr>
          <w:sz w:val="20"/>
          <w:szCs w:val="20"/>
        </w:rPr>
      </w:pPr>
    </w:p>
    <w:p w14:paraId="6F42444E" w14:textId="77777777" w:rsidR="00EE4A9A" w:rsidRDefault="00EE4A9A" w:rsidP="00EE4A9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Criterios de exclusión </w:t>
      </w:r>
    </w:p>
    <w:p w14:paraId="5C4362E3" w14:textId="77777777" w:rsidR="00EE4A9A" w:rsidRDefault="00EE4A9A" w:rsidP="00EE4A9A">
      <w:pPr>
        <w:ind w:right="13"/>
        <w:jc w:val="both"/>
        <w:rPr>
          <w:sz w:val="20"/>
          <w:szCs w:val="20"/>
        </w:rPr>
      </w:pPr>
    </w:p>
    <w:p w14:paraId="203596BA" w14:textId="78484925" w:rsidR="00EE4A9A" w:rsidRPr="004662BE" w:rsidRDefault="00EE4A9A" w:rsidP="00EE4A9A">
      <w:pPr>
        <w:ind w:right="13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C44A59">
        <w:rPr>
          <w:rFonts w:ascii="Arial" w:hAnsi="Arial" w:cs="Arial"/>
          <w:color w:val="000000"/>
          <w:sz w:val="20"/>
          <w:szCs w:val="20"/>
          <w:lang w:val="es-ES"/>
        </w:rPr>
        <w:t xml:space="preserve">Pacientes con diagnóstico de otra neoplasia hematológica en forma concomitante con el Linfoma de </w:t>
      </w:r>
      <w:r w:rsidR="00D6779B">
        <w:rPr>
          <w:rFonts w:ascii="Arial" w:hAnsi="Arial" w:cs="Arial"/>
          <w:color w:val="000000"/>
          <w:sz w:val="20"/>
          <w:szCs w:val="20"/>
          <w:lang w:val="es-ES"/>
        </w:rPr>
        <w:t>MALT</w:t>
      </w:r>
      <w:r w:rsidRPr="00C44A59">
        <w:rPr>
          <w:rFonts w:ascii="Arial" w:hAnsi="Arial" w:cs="Arial"/>
          <w:color w:val="000000"/>
          <w:sz w:val="20"/>
          <w:szCs w:val="20"/>
          <w:lang w:val="es-ES"/>
        </w:rPr>
        <w:t xml:space="preserve"> o que tras revisión del material de patología se haya modificado este diagnóstico.  </w:t>
      </w:r>
    </w:p>
    <w:p w14:paraId="42E42580" w14:textId="77777777" w:rsidR="00EE4A9A" w:rsidRPr="00D6779B" w:rsidRDefault="00EE4A9A" w:rsidP="00EE4A9A">
      <w:pPr>
        <w:autoSpaceDE w:val="0"/>
        <w:autoSpaceDN w:val="0"/>
        <w:adjustRightInd w:val="0"/>
        <w:ind w:left="360" w:right="13"/>
        <w:jc w:val="both"/>
        <w:rPr>
          <w:rFonts w:ascii="Arial" w:hAnsi="Arial" w:cs="Arial"/>
          <w:sz w:val="20"/>
          <w:szCs w:val="20"/>
          <w:lang w:val="es-ES"/>
        </w:rPr>
      </w:pPr>
    </w:p>
    <w:p w14:paraId="457F87BA" w14:textId="77777777" w:rsidR="00EE4A9A" w:rsidRPr="00BD1CF7" w:rsidRDefault="00EE4A9A" w:rsidP="00EE4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es-AR"/>
        </w:rPr>
      </w:pPr>
      <w:r w:rsidRPr="00BD1CF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es-AR"/>
        </w:rPr>
        <w:t>Procedimiento</w:t>
      </w:r>
    </w:p>
    <w:p w14:paraId="4886B772" w14:textId="77777777" w:rsidR="00EE4A9A" w:rsidRPr="00BD1CF7" w:rsidRDefault="00EE4A9A" w:rsidP="00EE4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es-AR"/>
        </w:rPr>
      </w:pPr>
    </w:p>
    <w:p w14:paraId="5867B93B" w14:textId="23D04ADE" w:rsidR="00EE4A9A" w:rsidRDefault="00EE4A9A" w:rsidP="00EE4A9A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La data epidemiológica será recolectada por cada investigador participante y responsable de cada país de forma individual, en una hoja de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Excel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que se anexa. La monitoría de los datos es responsabilidad de cada institución. </w:t>
      </w:r>
    </w:p>
    <w:p w14:paraId="73A0B1F4" w14:textId="77777777" w:rsidR="00BD1CF7" w:rsidRPr="00BD1CF7" w:rsidRDefault="00BD1CF7" w:rsidP="00BD1CF7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</w:p>
    <w:p w14:paraId="1E39E693" w14:textId="70FCC4F1" w:rsidR="00EE4A9A" w:rsidRPr="00BD1CF7" w:rsidRDefault="00EE4A9A" w:rsidP="00EE4A9A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La data posteriormente se unificará para ejecutar la evaluación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epidemiológica y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estadística 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por el grupo de investigadores.</w:t>
      </w:r>
    </w:p>
    <w:p w14:paraId="4A18ABC7" w14:textId="77777777" w:rsidR="00EE4A9A" w:rsidRPr="00BD1CF7" w:rsidRDefault="00EE4A9A" w:rsidP="00EE4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</w:p>
    <w:p w14:paraId="493E976F" w14:textId="652B20FC" w:rsidR="00EE4A9A" w:rsidRDefault="00EE4A9A" w:rsidP="008B6C6C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Análisis de los datos y conclusiones serán ejecutados con la intención de </w:t>
      </w:r>
      <w:r w:rsidR="00BD1CF7"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publicación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en una revista ind</w:t>
      </w:r>
      <w:r w:rsidR="00D6779B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exa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da.</w:t>
      </w:r>
    </w:p>
    <w:p w14:paraId="41A59D6E" w14:textId="77777777" w:rsidR="00BD1CF7" w:rsidRPr="00BD1CF7" w:rsidRDefault="00BD1CF7" w:rsidP="00BD1C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</w:p>
    <w:p w14:paraId="014465B4" w14:textId="2EB78CA9" w:rsidR="00EE4A9A" w:rsidRPr="00BD1CF7" w:rsidRDefault="00EE4A9A" w:rsidP="00EE4A9A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Todos los participantes formaran parte de la publicación final. El rol de los autores se organizará </w:t>
      </w:r>
      <w:r w:rsidR="00BD1CF7"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de acuerdo con el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margen de contribución en términos de casos de forma individual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después del IP y de los coinvestigadores operativos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. </w:t>
      </w:r>
    </w:p>
    <w:p w14:paraId="37FE5ED7" w14:textId="77777777" w:rsidR="00EE4A9A" w:rsidRPr="00BD1CF7" w:rsidRDefault="00EE4A9A" w:rsidP="00EE4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</w:p>
    <w:p w14:paraId="34893DA4" w14:textId="145A2D84" w:rsidR="00EE4A9A" w:rsidRPr="00BD1CF7" w:rsidRDefault="00EE4A9A" w:rsidP="00EE4A9A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La información recolectada será únicamente utilizada para fines académicos y quedará bajo confidencialidad del grupo, pudiendo acceder a ella únicamente aquellos involucrados en este proyecto o a quienes ellos autoricen</w:t>
      </w:r>
      <w:r w:rsid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 xml:space="preserve"> pudiendo usarse para futuros proyectos con IP diferentes si así fuera el caso</w:t>
      </w:r>
      <w:r w:rsidRPr="00BD1CF7"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  <w:t>.</w:t>
      </w:r>
    </w:p>
    <w:p w14:paraId="100E9239" w14:textId="77777777" w:rsidR="00EE4A9A" w:rsidRPr="00BD1CF7" w:rsidRDefault="00EE4A9A" w:rsidP="00EE4A9A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</w:p>
    <w:p w14:paraId="1A0C5FCA" w14:textId="55407BC0" w:rsidR="00EE4A9A" w:rsidRPr="00BD1CF7" w:rsidRDefault="00EE4A9A" w:rsidP="00EE4A9A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s-AR"/>
        </w:rPr>
      </w:pPr>
      <w:r w:rsidRPr="00BD1CF7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  <w:lang w:val="es-AR"/>
        </w:rPr>
        <w:t xml:space="preserve">Este protocolo no debe ser usado, divulgado, publicado ni de cualquier forma difundido sin la autorización. </w:t>
      </w:r>
      <w:r w:rsidR="00BD1CF7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  <w:lang w:val="es-AR"/>
        </w:rPr>
        <w:t xml:space="preserve">Confidencialidad. </w:t>
      </w:r>
    </w:p>
    <w:p w14:paraId="67C37C02" w14:textId="77777777" w:rsidR="00EE4A9A" w:rsidRPr="00BD1CF7" w:rsidRDefault="00EE4A9A" w:rsidP="00EE4A9A">
      <w:pPr>
        <w:pStyle w:val="Prrafodelista"/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  <w:lang w:val="es-AR"/>
        </w:rPr>
      </w:pPr>
    </w:p>
    <w:p w14:paraId="51793856" w14:textId="77777777" w:rsidR="00EE4A9A" w:rsidRPr="00490588" w:rsidRDefault="00EE4A9A" w:rsidP="00EE4A9A">
      <w:pPr>
        <w:autoSpaceDE w:val="0"/>
        <w:autoSpaceDN w:val="0"/>
        <w:adjustRightInd w:val="0"/>
        <w:ind w:right="13"/>
        <w:jc w:val="both"/>
        <w:rPr>
          <w:rFonts w:ascii="Arial" w:hAnsi="Arial" w:cs="Arial"/>
          <w:sz w:val="20"/>
          <w:szCs w:val="20"/>
        </w:rPr>
      </w:pPr>
    </w:p>
    <w:sdt>
      <w:sdtPr>
        <w:rPr>
          <w:rStyle w:val="Estilo1"/>
          <w:rFonts w:cs="Arial"/>
          <w:b/>
          <w:color w:val="000000" w:themeColor="text1"/>
          <w:szCs w:val="20"/>
        </w:rPr>
        <w:alias w:val="ControlVersiones"/>
        <w:tag w:val="ControlVersiones"/>
        <w:id w:val="-91855611"/>
        <w:placeholder>
          <w:docPart w:val="150F3FD8A07C2441BAE55AA86B126774"/>
        </w:placeholder>
        <w:showingPlcHdr/>
        <w15:color w:val="FFFFFF"/>
      </w:sdtPr>
      <w:sdtEndPr>
        <w:rPr>
          <w:rStyle w:val="Estilo1"/>
        </w:rPr>
      </w:sdtEndPr>
      <w:sdtContent>
        <w:p w14:paraId="32730C64" w14:textId="77777777" w:rsidR="00EE4A9A" w:rsidRPr="00490588" w:rsidRDefault="00EE4A9A" w:rsidP="00EE4A9A">
          <w:pPr>
            <w:jc w:val="both"/>
            <w:rPr>
              <w:rStyle w:val="Estilo1"/>
              <w:rFonts w:cs="Arial"/>
              <w:b/>
              <w:color w:val="000000" w:themeColor="text1"/>
              <w:szCs w:val="20"/>
            </w:rPr>
          </w:pPr>
          <w:r>
            <w:rPr>
              <w:rStyle w:val="Estilo1"/>
              <w:b/>
              <w:color w:val="000000" w:themeColor="text1"/>
              <w:sz w:val="22"/>
              <w:szCs w:val="22"/>
            </w:rPr>
            <w:t xml:space="preserve"> </w:t>
          </w:r>
        </w:p>
      </w:sdtContent>
    </w:sdt>
    <w:p w14:paraId="23E6306D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3825BCA8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523807B8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1C269056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446B5A34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208B6351" w14:textId="77777777" w:rsidR="00D6779B" w:rsidRDefault="00D6779B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</w:p>
    <w:p w14:paraId="02AF274E" w14:textId="76D5C001" w:rsidR="00EE4A9A" w:rsidRPr="00EE4A9A" w:rsidRDefault="00BD1CF7" w:rsidP="00EE4A9A">
      <w:pPr>
        <w:tabs>
          <w:tab w:val="left" w:pos="1680"/>
        </w:tabs>
        <w:rPr>
          <w:rFonts w:ascii="Arial" w:hAnsi="Arial" w:cs="Arial"/>
          <w:b/>
          <w:bCs/>
          <w:sz w:val="20"/>
          <w:szCs w:val="20"/>
        </w:rPr>
      </w:pPr>
      <w:r w:rsidRPr="00EE4A9A">
        <w:rPr>
          <w:rFonts w:ascii="Arial" w:hAnsi="Arial" w:cs="Arial"/>
          <w:b/>
          <w:bCs/>
          <w:sz w:val="20"/>
          <w:szCs w:val="20"/>
        </w:rPr>
        <w:t>Bibliografía</w:t>
      </w:r>
    </w:p>
    <w:p w14:paraId="0EA4EC83" w14:textId="77777777" w:rsidR="00845C43" w:rsidRPr="00845C43" w:rsidRDefault="00845C43">
      <w:pPr>
        <w:rPr>
          <w:lang w:val="en-US"/>
        </w:rPr>
      </w:pPr>
    </w:p>
    <w:sectPr w:rsidR="00845C43" w:rsidRPr="00845C43" w:rsidSect="00EE4A9A">
      <w:pgSz w:w="12242" w:h="15842" w:code="1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AEFA" w14:textId="77777777" w:rsidR="00655ABC" w:rsidRDefault="00655ABC" w:rsidP="00EE4A9A">
      <w:r>
        <w:separator/>
      </w:r>
    </w:p>
  </w:endnote>
  <w:endnote w:type="continuationSeparator" w:id="0">
    <w:p w14:paraId="1E8EFB7A" w14:textId="77777777" w:rsidR="00655ABC" w:rsidRDefault="00655ABC" w:rsidP="00EE4A9A">
      <w:r>
        <w:continuationSeparator/>
      </w:r>
    </w:p>
  </w:endnote>
  <w:endnote w:id="1">
    <w:p w14:paraId="4D800053" w14:textId="77777777" w:rsidR="00D6779B" w:rsidRPr="005B3514" w:rsidRDefault="00D6779B" w:rsidP="00D6779B">
      <w:pPr>
        <w:rPr>
          <w:lang w:val="en-US" w:eastAsia="es-ES_tradnl"/>
        </w:rPr>
      </w:pPr>
      <w:r>
        <w:rPr>
          <w:rStyle w:val="Refdenotaalfinal"/>
        </w:rPr>
        <w:endnoteRef/>
      </w:r>
      <w:r w:rsidRPr="00D6779B">
        <w:rPr>
          <w:lang w:val="en-US"/>
        </w:rPr>
        <w:t xml:space="preserve"> </w:t>
      </w:r>
      <w:r w:rsidRPr="00D6779B">
        <w:rPr>
          <w:lang w:val="en-US" w:eastAsia="es-ES_tradnl"/>
        </w:rPr>
        <w:t xml:space="preserve">Isaacson PG. Update on MALT lymphomas. Best Pract Res Clin Haematol. </w:t>
      </w:r>
      <w:r w:rsidRPr="005B3514">
        <w:rPr>
          <w:lang w:val="en-US" w:eastAsia="es-ES_tradnl"/>
        </w:rPr>
        <w:t>2005;18, 57–68.</w:t>
      </w:r>
    </w:p>
    <w:p w14:paraId="42993BE8" w14:textId="77777777" w:rsidR="00D6779B" w:rsidRDefault="00D6779B" w:rsidP="00D6779B">
      <w:pPr>
        <w:rPr>
          <w:lang w:val="en-US" w:eastAsia="es-ES_tradnl"/>
        </w:rPr>
      </w:pPr>
    </w:p>
    <w:p w14:paraId="70C701EF" w14:textId="0B9BFF43" w:rsidR="00D6779B" w:rsidRPr="005B3514" w:rsidRDefault="00D6779B">
      <w:pPr>
        <w:pStyle w:val="Textonotaalfinal"/>
        <w:rPr>
          <w:lang w:val="en-US"/>
        </w:rPr>
      </w:pPr>
    </w:p>
  </w:endnote>
  <w:endnote w:id="2">
    <w:p w14:paraId="68552654" w14:textId="77777777" w:rsidR="00D6779B" w:rsidRPr="00D6779B" w:rsidRDefault="00D6779B" w:rsidP="00D6779B">
      <w:pPr>
        <w:rPr>
          <w:lang w:val="en-US" w:eastAsia="es-ES_tradnl"/>
        </w:rPr>
      </w:pPr>
      <w:r>
        <w:rPr>
          <w:rStyle w:val="Refdenotaalfinal"/>
        </w:rPr>
        <w:endnoteRef/>
      </w:r>
      <w:r w:rsidRPr="00D6779B">
        <w:rPr>
          <w:lang w:val="en-US"/>
        </w:rPr>
        <w:t xml:space="preserve"> </w:t>
      </w:r>
      <w:r w:rsidRPr="00D6779B">
        <w:rPr>
          <w:lang w:val="en-US" w:eastAsia="es-ES_tradnl"/>
        </w:rPr>
        <w:t>Thieblemont C, et al. Chronic inflammation and extra-nodal marginal-zone lymphomas of MALT-type. Semin Cancer Biol. 2014;24:33–42.</w:t>
      </w:r>
    </w:p>
    <w:p w14:paraId="5EA01223" w14:textId="25AC4360" w:rsidR="00D6779B" w:rsidRPr="005B3514" w:rsidRDefault="00D6779B">
      <w:pPr>
        <w:pStyle w:val="Textonotaalfinal"/>
        <w:rPr>
          <w:lang w:val="en-US"/>
        </w:rPr>
      </w:pPr>
    </w:p>
  </w:endnote>
  <w:endnote w:id="3">
    <w:p w14:paraId="2B9541E3" w14:textId="77777777" w:rsidR="00D6779B" w:rsidRPr="00D6779B" w:rsidRDefault="00D6779B" w:rsidP="00D6779B">
      <w:pPr>
        <w:rPr>
          <w:lang w:val="es-PY" w:eastAsia="es-ES_tradnl"/>
        </w:rPr>
      </w:pPr>
      <w:r>
        <w:rPr>
          <w:rStyle w:val="Refdenotaalfinal"/>
        </w:rPr>
        <w:endnoteRef/>
      </w:r>
      <w:r w:rsidRPr="00D6779B">
        <w:rPr>
          <w:lang w:val="en-US"/>
        </w:rPr>
        <w:t xml:space="preserve"> </w:t>
      </w:r>
      <w:r w:rsidRPr="00D6779B">
        <w:rPr>
          <w:lang w:val="en-US" w:eastAsia="es-ES_tradnl"/>
        </w:rPr>
        <w:t xml:space="preserve">Salar A. Gastric MALT lymphoma and Helicobacter pylori. </w:t>
      </w:r>
      <w:r w:rsidRPr="005B3514">
        <w:rPr>
          <w:lang w:val="es-PY" w:eastAsia="es-ES_tradnl"/>
        </w:rPr>
        <w:t xml:space="preserve">Medicina Clinica. </w:t>
      </w:r>
      <w:r w:rsidRPr="00D6779B">
        <w:rPr>
          <w:lang w:val="es-PY" w:eastAsia="es-ES_tradnl"/>
        </w:rPr>
        <w:t>2019;vol. 152:65–71.</w:t>
      </w:r>
    </w:p>
    <w:p w14:paraId="180D7C81" w14:textId="77777777" w:rsidR="00D6779B" w:rsidRPr="005B3514" w:rsidRDefault="00D6779B" w:rsidP="00D6779B">
      <w:pPr>
        <w:rPr>
          <w:lang w:val="es-PY" w:eastAsia="es-ES_tradnl"/>
        </w:rPr>
      </w:pPr>
    </w:p>
    <w:p w14:paraId="293B88F7" w14:textId="586E2EF0" w:rsidR="00D6779B" w:rsidRPr="00D6779B" w:rsidRDefault="00D6779B">
      <w:pPr>
        <w:pStyle w:val="Textonotaalfinal"/>
        <w:rPr>
          <w:lang w:val="es-ES"/>
        </w:rPr>
      </w:pPr>
    </w:p>
  </w:endnote>
  <w:endnote w:id="4">
    <w:p w14:paraId="5D90346D" w14:textId="77777777" w:rsidR="00D6779B" w:rsidRPr="00D6779B" w:rsidRDefault="00D6779B" w:rsidP="00D6779B">
      <w:pPr>
        <w:pStyle w:val="Textonotaalfinal"/>
        <w:rPr>
          <w:lang w:val="es-PY"/>
        </w:rPr>
      </w:pPr>
      <w:r>
        <w:rPr>
          <w:rStyle w:val="Refdenotaalfinal"/>
        </w:rPr>
        <w:endnoteRef/>
      </w:r>
      <w:r>
        <w:t xml:space="preserve"> </w:t>
      </w:r>
      <w:r w:rsidRPr="00D6779B">
        <w:rPr>
          <w:lang w:val="es-PY"/>
        </w:rPr>
        <w:t>GELTAMO 2020, Linfoma de la Zona Marginal</w:t>
      </w:r>
    </w:p>
    <w:p w14:paraId="1C5913F1" w14:textId="00382E1E" w:rsidR="00D6779B" w:rsidRPr="00D6779B" w:rsidRDefault="00D6779B">
      <w:pPr>
        <w:pStyle w:val="Textonotaalfinal"/>
        <w:rPr>
          <w:lang w:val="es-PY"/>
        </w:rPr>
      </w:pPr>
    </w:p>
  </w:endnote>
  <w:endnote w:id="5">
    <w:p w14:paraId="0DE93011" w14:textId="77777777" w:rsidR="00D6779B" w:rsidRPr="005B3514" w:rsidRDefault="00D6779B" w:rsidP="00D6779B">
      <w:pPr>
        <w:rPr>
          <w:lang w:val="en-US" w:eastAsia="es-ES_tradnl"/>
        </w:rPr>
      </w:pPr>
      <w:r>
        <w:rPr>
          <w:rStyle w:val="Refdenotaalfinal"/>
        </w:rPr>
        <w:endnoteRef/>
      </w:r>
      <w:r w:rsidRPr="00D6779B">
        <w:rPr>
          <w:lang w:val="en-US"/>
        </w:rPr>
        <w:t xml:space="preserve"> </w:t>
      </w:r>
      <w:r w:rsidRPr="00D6779B">
        <w:rPr>
          <w:lang w:val="en-US" w:eastAsia="es-ES_tradnl"/>
        </w:rPr>
        <w:t xml:space="preserve">van den Brand M &amp; van </w:t>
      </w:r>
      <w:r w:rsidRPr="00D6779B">
        <w:rPr>
          <w:lang w:val="en-US" w:eastAsia="es-ES_tradnl"/>
        </w:rPr>
        <w:t xml:space="preserve">Krieken JH. Recognizing nodal marginal zone lymphoma: recent advances and pitfalls: a systematic review. </w:t>
      </w:r>
      <w:r w:rsidRPr="005B3514">
        <w:rPr>
          <w:lang w:val="en-US" w:eastAsia="es-ES_tradnl"/>
        </w:rPr>
        <w:t>Haematologica. 2013;98:1003–13</w:t>
      </w:r>
    </w:p>
    <w:p w14:paraId="22464C49" w14:textId="45E5A935" w:rsidR="00D6779B" w:rsidRPr="005B3514" w:rsidRDefault="00D6779B">
      <w:pPr>
        <w:pStyle w:val="Textonotaalfinal"/>
        <w:rPr>
          <w:lang w:val="en-US"/>
        </w:rPr>
      </w:pPr>
    </w:p>
  </w:endnote>
  <w:endnote w:id="6">
    <w:p w14:paraId="4AA5C82A" w14:textId="77777777" w:rsidR="00D6779B" w:rsidRPr="00D6779B" w:rsidRDefault="00D6779B" w:rsidP="00D6779B">
      <w:pPr>
        <w:rPr>
          <w:lang w:val="en-US" w:eastAsia="es-ES_tradnl"/>
        </w:rPr>
      </w:pPr>
      <w:r>
        <w:rPr>
          <w:rStyle w:val="Refdenotaalfinal"/>
        </w:rPr>
        <w:endnoteRef/>
      </w:r>
      <w:r w:rsidRPr="00D6779B">
        <w:rPr>
          <w:lang w:val="en-US"/>
        </w:rPr>
        <w:t xml:space="preserve"> </w:t>
      </w:r>
      <w:r w:rsidRPr="00D6779B">
        <w:rPr>
          <w:lang w:val="en-US" w:eastAsia="es-ES_tradnl"/>
        </w:rPr>
        <w:t>Raderer M, et al. High relapse rate in patients with MALT lymphoma warrants lifelong follow-up. Clin Cancer Res. 2005;11:3349–52.</w:t>
      </w:r>
    </w:p>
    <w:p w14:paraId="54FCC11B" w14:textId="77777777" w:rsidR="00D6779B" w:rsidRPr="00D6779B" w:rsidRDefault="00D6779B" w:rsidP="00D6779B">
      <w:pPr>
        <w:rPr>
          <w:lang w:val="en-US" w:eastAsia="es-ES_tradnl"/>
        </w:rPr>
      </w:pPr>
    </w:p>
    <w:p w14:paraId="46C26813" w14:textId="7F891E71" w:rsidR="00D6779B" w:rsidRPr="00D6779B" w:rsidRDefault="00D6779B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AB9F" w14:textId="77777777" w:rsidR="00655ABC" w:rsidRDefault="00655ABC" w:rsidP="00EE4A9A">
      <w:r>
        <w:separator/>
      </w:r>
    </w:p>
  </w:footnote>
  <w:footnote w:type="continuationSeparator" w:id="0">
    <w:p w14:paraId="138DD1DC" w14:textId="77777777" w:rsidR="00655ABC" w:rsidRDefault="00655ABC" w:rsidP="00EE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26B8"/>
    <w:multiLevelType w:val="hybridMultilevel"/>
    <w:tmpl w:val="2D7C3E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3CBA"/>
    <w:multiLevelType w:val="hybridMultilevel"/>
    <w:tmpl w:val="2584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FAB"/>
    <w:multiLevelType w:val="hybridMultilevel"/>
    <w:tmpl w:val="0F7AFA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B57"/>
    <w:multiLevelType w:val="hybridMultilevel"/>
    <w:tmpl w:val="E660AF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9A"/>
    <w:rsid w:val="000C025A"/>
    <w:rsid w:val="000D0253"/>
    <w:rsid w:val="000F7ADE"/>
    <w:rsid w:val="0022744A"/>
    <w:rsid w:val="00283F45"/>
    <w:rsid w:val="005B3514"/>
    <w:rsid w:val="00655ABC"/>
    <w:rsid w:val="00721DA5"/>
    <w:rsid w:val="00786AE0"/>
    <w:rsid w:val="00840BF5"/>
    <w:rsid w:val="00844C91"/>
    <w:rsid w:val="00845C43"/>
    <w:rsid w:val="00BD1CF7"/>
    <w:rsid w:val="00D518F4"/>
    <w:rsid w:val="00D6779B"/>
    <w:rsid w:val="00D94C69"/>
    <w:rsid w:val="00EE4A9A"/>
    <w:rsid w:val="00F6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6E6"/>
  <w15:chartTrackingRefBased/>
  <w15:docId w15:val="{DD854258-2043-0E4F-AEF0-28919A0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9A"/>
    <w:rPr>
      <w:rFonts w:ascii="Times New Roman" w:eastAsia="Times New Roman" w:hAnsi="Times New Roman" w:cs="Times New Roman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E4A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A9A"/>
    <w:rPr>
      <w:rFonts w:ascii="Times New Roman" w:eastAsia="Times New Roman" w:hAnsi="Times New Roman" w:cs="Times New Roman"/>
      <w:lang w:val="es-CO" w:eastAsia="es-ES"/>
    </w:rPr>
  </w:style>
  <w:style w:type="character" w:styleId="Nmerodepgina">
    <w:name w:val="page number"/>
    <w:basedOn w:val="Fuentedeprrafopredeter"/>
    <w:rsid w:val="00EE4A9A"/>
  </w:style>
  <w:style w:type="paragraph" w:styleId="Prrafodelista">
    <w:name w:val="List Paragraph"/>
    <w:basedOn w:val="Normal"/>
    <w:uiPriority w:val="34"/>
    <w:qFormat/>
    <w:rsid w:val="00EE4A9A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E4A9A"/>
    <w:pPr>
      <w:spacing w:before="100" w:beforeAutospacing="1" w:after="100" w:afterAutospacing="1"/>
    </w:pPr>
    <w:rPr>
      <w:lang w:val="es-419" w:eastAsia="es-419"/>
    </w:rPr>
  </w:style>
  <w:style w:type="character" w:customStyle="1" w:styleId="Estilo1">
    <w:name w:val="Estilo1"/>
    <w:basedOn w:val="Fuentedeprrafopredeter"/>
    <w:uiPriority w:val="1"/>
    <w:qFormat/>
    <w:rsid w:val="00EE4A9A"/>
    <w:rPr>
      <w:rFonts w:ascii="Arial" w:hAnsi="Arial"/>
      <w:sz w:val="20"/>
    </w:rPr>
  </w:style>
  <w:style w:type="paragraph" w:customStyle="1" w:styleId="Default">
    <w:name w:val="Default"/>
    <w:rsid w:val="00EE4A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4A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A9A"/>
    <w:rPr>
      <w:rFonts w:ascii="Times New Roman" w:eastAsia="Times New Roman" w:hAnsi="Times New Roman" w:cs="Times New Roman"/>
      <w:lang w:val="es-C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77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779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6779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779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779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D67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F3FD8A07C2441BAE55AA86B12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91232-0B91-7B4B-80AA-1C4F079354B0}"/>
      </w:docPartPr>
      <w:docPartBody>
        <w:p w:rsidR="004C5052" w:rsidRDefault="00AF41A3" w:rsidP="00AF41A3">
          <w:pPr>
            <w:pStyle w:val="150F3FD8A07C2441BAE55AA86B126774"/>
          </w:pPr>
          <w:r>
            <w:rPr>
              <w:rStyle w:val="Estilo1"/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3"/>
    <w:rsid w:val="00007F44"/>
    <w:rsid w:val="00141204"/>
    <w:rsid w:val="002E7B74"/>
    <w:rsid w:val="003806AA"/>
    <w:rsid w:val="004C5052"/>
    <w:rsid w:val="00AF41A3"/>
    <w:rsid w:val="00D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Y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qFormat/>
    <w:rsid w:val="00AF41A3"/>
    <w:rPr>
      <w:rFonts w:ascii="Arial" w:hAnsi="Arial"/>
      <w:sz w:val="20"/>
    </w:rPr>
  </w:style>
  <w:style w:type="paragraph" w:customStyle="1" w:styleId="150F3FD8A07C2441BAE55AA86B126774">
    <w:name w:val="150F3FD8A07C2441BAE55AA86B126774"/>
    <w:rsid w:val="00AF4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C7D614-AA99-EA41-ACD4-95AC6BD3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von Glasenapp</dc:creator>
  <cp:keywords/>
  <dc:description/>
  <cp:lastModifiedBy>Alana von Glasenapp</cp:lastModifiedBy>
  <cp:revision>4</cp:revision>
  <dcterms:created xsi:type="dcterms:W3CDTF">2022-07-11T19:20:00Z</dcterms:created>
  <dcterms:modified xsi:type="dcterms:W3CDTF">2024-05-30T20:19:00Z</dcterms:modified>
</cp:coreProperties>
</file>